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45A8D5B5" w:rsidR="009C6187" w:rsidRPr="003C5F44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91B478F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26952BBE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180D2D12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3BBD5FD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4C86BD11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5DC94D83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EAF8883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0742A0C5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</w:t>
      </w:r>
      <w:r w:rsidR="000B43CD">
        <w:rPr>
          <w:sz w:val="22"/>
        </w:rPr>
        <w:t>3</w:t>
      </w:r>
    </w:p>
    <w:p w14:paraId="1F258603" w14:textId="77777777" w:rsidR="005C4EF7" w:rsidRDefault="005C4EF7">
      <w:pPr>
        <w:rPr>
          <w:sz w:val="22"/>
        </w:rPr>
      </w:pPr>
    </w:p>
    <w:p w14:paraId="096E5568" w14:textId="1635B572" w:rsidR="000D7A82" w:rsidRDefault="00063408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Request to </w:t>
      </w:r>
      <w:r w:rsidR="009C5D12">
        <w:rPr>
          <w:sz w:val="22"/>
        </w:rPr>
        <w:t>add t</w:t>
      </w:r>
      <w:r w:rsidR="00797F11">
        <w:rPr>
          <w:sz w:val="22"/>
        </w:rPr>
        <w:t>wo ne</w:t>
      </w:r>
      <w:r w:rsidR="009C5D12">
        <w:rPr>
          <w:sz w:val="22"/>
        </w:rPr>
        <w:t>w code values for the ‘</w:t>
      </w:r>
      <w:r w:rsidR="00346F49">
        <w:rPr>
          <w:sz w:val="22"/>
        </w:rPr>
        <w:t>Transaction Type</w:t>
      </w:r>
      <w:r w:rsidR="009C5D12">
        <w:rPr>
          <w:sz w:val="22"/>
        </w:rPr>
        <w:t>’ data element in</w:t>
      </w:r>
      <w:r w:rsidR="000D7A82">
        <w:rPr>
          <w:sz w:val="22"/>
        </w:rPr>
        <w:t xml:space="preserve"> the following data set</w:t>
      </w:r>
      <w:r>
        <w:rPr>
          <w:sz w:val="22"/>
        </w:rPr>
        <w:t>(</w:t>
      </w:r>
      <w:r w:rsidR="000D7A82">
        <w:rPr>
          <w:sz w:val="22"/>
        </w:rPr>
        <w:t>s</w:t>
      </w:r>
      <w:r>
        <w:rPr>
          <w:sz w:val="22"/>
        </w:rPr>
        <w:t>)</w:t>
      </w:r>
      <w:r w:rsidR="000D7A82">
        <w:rPr>
          <w:sz w:val="22"/>
        </w:rPr>
        <w:t>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5A5BA11A" w:rsidR="000D7A82" w:rsidRDefault="000D7A82" w:rsidP="000D7A82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346F49">
        <w:rPr>
          <w:sz w:val="22"/>
        </w:rPr>
        <w:t>2.4.3</w:t>
      </w:r>
      <w:r w:rsidR="00346F49">
        <w:rPr>
          <w:sz w:val="22"/>
        </w:rPr>
        <w:tab/>
        <w:t>Allocation</w:t>
      </w:r>
    </w:p>
    <w:p w14:paraId="03416685" w14:textId="259088CB" w:rsidR="00346F49" w:rsidRDefault="00346F49" w:rsidP="000D7A82">
      <w:pPr>
        <w:ind w:left="1440"/>
        <w:rPr>
          <w:sz w:val="22"/>
        </w:rPr>
      </w:pPr>
      <w:r>
        <w:rPr>
          <w:sz w:val="22"/>
        </w:rPr>
        <w:t>NAESB WGQ Standard No. 2.4.4</w:t>
      </w:r>
      <w:r>
        <w:rPr>
          <w:sz w:val="22"/>
        </w:rPr>
        <w:tab/>
        <w:t>Shipper Imbalance</w:t>
      </w:r>
    </w:p>
    <w:p w14:paraId="34DCA4D2" w14:textId="4B34725F" w:rsidR="00346F49" w:rsidRDefault="00346F49" w:rsidP="000D7A82">
      <w:pPr>
        <w:ind w:left="1440"/>
        <w:rPr>
          <w:sz w:val="22"/>
        </w:rPr>
      </w:pPr>
      <w:r>
        <w:rPr>
          <w:sz w:val="22"/>
        </w:rPr>
        <w:t>NAESB WGQ Standard No. 3.4.1</w:t>
      </w:r>
      <w:r>
        <w:rPr>
          <w:sz w:val="22"/>
        </w:rPr>
        <w:tab/>
        <w:t>Transportation/Sales Invoice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6ACEADD" w14:textId="331019CD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</w:t>
      </w:r>
      <w:r w:rsidR="002B2A74">
        <w:rPr>
          <w:sz w:val="18"/>
          <w:szCs w:val="18"/>
        </w:rPr>
        <w:t>,</w:t>
      </w:r>
      <w:r w:rsidRPr="00E65983">
        <w:rPr>
          <w:sz w:val="18"/>
          <w:szCs w:val="18"/>
        </w:rPr>
        <w:t xml:space="preserve"> or deletion of code values)</w:t>
      </w:r>
    </w:p>
    <w:p w14:paraId="02BAEF57" w14:textId="77777777" w:rsidR="00AF00CF" w:rsidRDefault="00AF00CF" w:rsidP="00AF00CF">
      <w:pPr>
        <w:rPr>
          <w:sz w:val="18"/>
          <w:szCs w:val="18"/>
        </w:rPr>
      </w:pPr>
    </w:p>
    <w:p w14:paraId="587C81EB" w14:textId="065370BE" w:rsidR="00AF00CF" w:rsidRDefault="00016991" w:rsidP="00AF00CF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>Document: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NAESB WGQ</w:t>
      </w:r>
      <w:r w:rsidR="007D3E43">
        <w:rPr>
          <w:bCs/>
          <w:sz w:val="20"/>
          <w:szCs w:val="20"/>
        </w:rPr>
        <w:t xml:space="preserve"> Standard No. </w:t>
      </w:r>
      <w:r w:rsidR="00E84745">
        <w:rPr>
          <w:bCs/>
          <w:sz w:val="20"/>
          <w:szCs w:val="20"/>
        </w:rPr>
        <w:t>2.4.3</w:t>
      </w:r>
      <w:r w:rsidR="00E84745">
        <w:rPr>
          <w:bCs/>
          <w:sz w:val="20"/>
          <w:szCs w:val="20"/>
        </w:rPr>
        <w:tab/>
        <w:t>Allocation</w:t>
      </w:r>
    </w:p>
    <w:p w14:paraId="46D5A852" w14:textId="53B7621B" w:rsidR="00E84745" w:rsidRDefault="00E84745" w:rsidP="00AF00CF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NAESB WGQ Standard No. 2.4.4</w:t>
      </w:r>
      <w:r>
        <w:rPr>
          <w:bCs/>
          <w:sz w:val="20"/>
          <w:szCs w:val="20"/>
        </w:rPr>
        <w:tab/>
        <w:t>Shipper Imbalance</w:t>
      </w:r>
    </w:p>
    <w:p w14:paraId="3D3B7FCD" w14:textId="60577C2A" w:rsidR="00E84745" w:rsidRPr="00E84745" w:rsidRDefault="00E84745" w:rsidP="00AF00CF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NAESB WGQ Standard No. 3.4.1</w:t>
      </w:r>
      <w:r>
        <w:rPr>
          <w:bCs/>
          <w:sz w:val="20"/>
          <w:szCs w:val="20"/>
        </w:rPr>
        <w:tab/>
        <w:t>Transportation/Sales Invoice</w:t>
      </w:r>
    </w:p>
    <w:p w14:paraId="446CDA1A" w14:textId="1EF7F6D5" w:rsidR="007D3E43" w:rsidRDefault="007D3E43" w:rsidP="00AF00CF">
      <w:pPr>
        <w:ind w:left="360"/>
        <w:rPr>
          <w:bCs/>
          <w:sz w:val="20"/>
          <w:szCs w:val="20"/>
        </w:rPr>
      </w:pPr>
    </w:p>
    <w:p w14:paraId="6CDA6D21" w14:textId="6F0AD342" w:rsidR="003038CE" w:rsidRDefault="003038CE" w:rsidP="00AF00CF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Add the </w:t>
      </w:r>
      <w:r w:rsidR="00E46916">
        <w:rPr>
          <w:bCs/>
          <w:sz w:val="20"/>
          <w:szCs w:val="20"/>
        </w:rPr>
        <w:t>code values shown below in alphabetical order</w:t>
      </w:r>
      <w:r w:rsidR="00C92E4A">
        <w:rPr>
          <w:bCs/>
          <w:sz w:val="20"/>
          <w:szCs w:val="20"/>
        </w:rPr>
        <w:t xml:space="preserve"> by Code Value Description. </w:t>
      </w:r>
    </w:p>
    <w:p w14:paraId="0D577886" w14:textId="6FB775BB" w:rsidR="00C92E4A" w:rsidRDefault="00C92E4A" w:rsidP="00AF00CF">
      <w:pPr>
        <w:ind w:left="360"/>
        <w:rPr>
          <w:bCs/>
          <w:sz w:val="20"/>
          <w:szCs w:val="20"/>
        </w:rPr>
      </w:pPr>
    </w:p>
    <w:p w14:paraId="29C5059F" w14:textId="0B2A3181" w:rsidR="007D3E43" w:rsidRDefault="006944DD" w:rsidP="00AF00C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Transaction T</w:t>
      </w:r>
      <w:r w:rsidR="008005B7">
        <w:rPr>
          <w:b/>
          <w:sz w:val="20"/>
          <w:szCs w:val="20"/>
        </w:rPr>
        <w:t>ype</w:t>
      </w:r>
    </w:p>
    <w:p w14:paraId="26E80AC3" w14:textId="2EF1A5FF" w:rsidR="008005B7" w:rsidRDefault="008005B7" w:rsidP="00AF00CF">
      <w:pPr>
        <w:ind w:left="360"/>
        <w:rPr>
          <w:b/>
          <w:sz w:val="20"/>
          <w:szCs w:val="20"/>
        </w:rPr>
      </w:pPr>
    </w:p>
    <w:tbl>
      <w:tblPr>
        <w:tblW w:w="9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5010"/>
        <w:gridCol w:w="1380"/>
      </w:tblGrid>
      <w:tr w:rsidR="008005B7" w:rsidRPr="00E355FF" w14:paraId="61C8C86D" w14:textId="77777777" w:rsidTr="00D9294E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9E8CCEB" w14:textId="77777777" w:rsidR="008005B7" w:rsidRPr="00E355FF" w:rsidRDefault="008005B7" w:rsidP="00D9294E">
            <w:pPr>
              <w:widowControl w:val="0"/>
              <w:spacing w:before="80" w:after="40"/>
              <w:ind w:left="65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Description</w:t>
            </w: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 w:rsidRPr="00E355FF">
              <w:rPr>
                <w:rFonts w:cs="Arial"/>
                <w:b/>
                <w:snapToGrid w:val="0"/>
                <w:sz w:val="18"/>
                <w:szCs w:val="18"/>
              </w:rPr>
              <w:t>(Abbreviation)</w:t>
            </w:r>
          </w:p>
        </w:tc>
        <w:tc>
          <w:tcPr>
            <w:tcW w:w="50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30A4B42" w14:textId="77777777" w:rsidR="008005B7" w:rsidRPr="00E355FF" w:rsidRDefault="008005B7" w:rsidP="00D9294E">
            <w:pPr>
              <w:spacing w:before="80" w:after="40"/>
              <w:ind w:left="6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38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CF5EE6E" w14:textId="77777777" w:rsidR="008005B7" w:rsidRPr="00E355FF" w:rsidRDefault="008005B7" w:rsidP="00D9294E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8005B7" w:rsidRPr="00C92E4A" w14:paraId="2D1C5075" w14:textId="77777777" w:rsidTr="00D9294E">
        <w:trPr>
          <w:cantSplit/>
        </w:trPr>
        <w:tc>
          <w:tcPr>
            <w:tcW w:w="2910" w:type="dxa"/>
            <w:tcBorders>
              <w:top w:val="double" w:sz="6" w:space="0" w:color="auto"/>
            </w:tcBorders>
          </w:tcPr>
          <w:p w14:paraId="6EBDEEF6" w14:textId="4F6718C3" w:rsidR="008005B7" w:rsidRPr="00C92E4A" w:rsidRDefault="00E84745" w:rsidP="00D9294E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Swing on Storage Injection</w:t>
            </w: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br/>
              <w:t>(</w:t>
            </w:r>
            <w:r w:rsidR="00FE088C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Swing on Stor Inj)</w:t>
            </w:r>
          </w:p>
        </w:tc>
        <w:tc>
          <w:tcPr>
            <w:tcW w:w="5010" w:type="dxa"/>
            <w:tcBorders>
              <w:top w:val="double" w:sz="6" w:space="0" w:color="auto"/>
            </w:tcBorders>
          </w:tcPr>
          <w:p w14:paraId="07854CC1" w14:textId="05CD51C1" w:rsidR="008005B7" w:rsidRPr="00C92E4A" w:rsidRDefault="00FE088C" w:rsidP="00D9294E">
            <w:pPr>
              <w:spacing w:before="80" w:after="40"/>
              <w:ind w:left="6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A quantity of gas for swing on storage injection.</w:t>
            </w:r>
          </w:p>
        </w:tc>
        <w:tc>
          <w:tcPr>
            <w:tcW w:w="1380" w:type="dxa"/>
            <w:tcBorders>
              <w:top w:val="double" w:sz="6" w:space="0" w:color="auto"/>
            </w:tcBorders>
          </w:tcPr>
          <w:p w14:paraId="1FDE457B" w14:textId="3215FFFB" w:rsidR="008005B7" w:rsidRPr="00C92E4A" w:rsidRDefault="00D02EAE" w:rsidP="00D9294E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17</w:t>
            </w:r>
            <w:r w:rsidR="00AF723B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2</w:t>
            </w:r>
          </w:p>
        </w:tc>
      </w:tr>
      <w:tr w:rsidR="0058721C" w:rsidRPr="00C92E4A" w14:paraId="5E415EDE" w14:textId="77777777" w:rsidTr="00D9294E">
        <w:trPr>
          <w:cantSplit/>
        </w:trPr>
        <w:tc>
          <w:tcPr>
            <w:tcW w:w="2910" w:type="dxa"/>
            <w:shd w:val="clear" w:color="auto" w:fill="auto"/>
          </w:tcPr>
          <w:p w14:paraId="60FC7D47" w14:textId="056CBE04" w:rsidR="0058721C" w:rsidRPr="00C92E4A" w:rsidRDefault="006944DD" w:rsidP="00D9294E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Swing on Storage Withdrawal</w:t>
            </w:r>
            <w:r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br/>
              <w:t>(Swing on Stor W/D)</w:t>
            </w:r>
          </w:p>
        </w:tc>
        <w:tc>
          <w:tcPr>
            <w:tcW w:w="5010" w:type="dxa"/>
            <w:shd w:val="clear" w:color="auto" w:fill="auto"/>
          </w:tcPr>
          <w:p w14:paraId="515F0859" w14:textId="14F49D04" w:rsidR="0058721C" w:rsidRPr="00C92E4A" w:rsidRDefault="006944DD" w:rsidP="00D9294E">
            <w:pPr>
              <w:spacing w:before="40" w:after="40"/>
              <w:ind w:left="6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A quantity of gas for swing on storage withdrawal.</w:t>
            </w:r>
          </w:p>
        </w:tc>
        <w:tc>
          <w:tcPr>
            <w:tcW w:w="1380" w:type="dxa"/>
            <w:shd w:val="clear" w:color="auto" w:fill="auto"/>
          </w:tcPr>
          <w:p w14:paraId="45D02C54" w14:textId="472B7CAD" w:rsidR="0058721C" w:rsidRPr="00C92E4A" w:rsidRDefault="006944DD" w:rsidP="00D9294E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6944DD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17</w:t>
            </w:r>
            <w:r w:rsidR="00AF723B" w:rsidRPr="00AF723B">
              <w:rPr>
                <w:rFonts w:cs="Arial"/>
                <w:color w:val="000000"/>
                <w:sz w:val="18"/>
                <w:szCs w:val="18"/>
                <w:highlight w:val="yellow"/>
                <w:u w:val="single"/>
              </w:rPr>
              <w:t>1</w:t>
            </w:r>
          </w:p>
        </w:tc>
      </w:tr>
    </w:tbl>
    <w:p w14:paraId="0779E23C" w14:textId="2F314D7B" w:rsidR="008005B7" w:rsidRDefault="008005B7" w:rsidP="00AF00CF">
      <w:pPr>
        <w:ind w:left="360"/>
        <w:rPr>
          <w:b/>
          <w:sz w:val="20"/>
          <w:szCs w:val="20"/>
        </w:rPr>
      </w:pPr>
    </w:p>
    <w:p w14:paraId="44B01808" w14:textId="77777777" w:rsidR="00AF00CF" w:rsidRDefault="00AF00CF" w:rsidP="00AF00CF">
      <w:pPr>
        <w:rPr>
          <w:b/>
          <w:sz w:val="22"/>
        </w:rPr>
      </w:pPr>
    </w:p>
    <w:p w14:paraId="3296B5FC" w14:textId="77777777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5AD05E89" w14:textId="77777777" w:rsidR="00AF00CF" w:rsidRDefault="00AF00CF" w:rsidP="00AF00CF">
      <w:pPr>
        <w:rPr>
          <w:sz w:val="18"/>
          <w:szCs w:val="18"/>
        </w:rPr>
      </w:pPr>
    </w:p>
    <w:p w14:paraId="75429722" w14:textId="4A18E74A" w:rsidR="00AF00CF" w:rsidRDefault="00231970" w:rsidP="00813AE9">
      <w:pPr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>Document: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NAESB WGQ Standard No. 2.4.3</w:t>
      </w:r>
      <w:r>
        <w:rPr>
          <w:sz w:val="20"/>
          <w:szCs w:val="20"/>
        </w:rPr>
        <w:tab/>
        <w:t>Allocation</w:t>
      </w:r>
    </w:p>
    <w:p w14:paraId="386DD98D" w14:textId="693FBDA1" w:rsidR="00231970" w:rsidRDefault="00231970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464456" w14:paraId="25808FA3" w14:textId="77777777" w:rsidTr="00D9294E">
        <w:tc>
          <w:tcPr>
            <w:tcW w:w="10188" w:type="dxa"/>
          </w:tcPr>
          <w:p w14:paraId="29907260" w14:textId="77777777" w:rsidR="00464456" w:rsidRDefault="00464456" w:rsidP="00D92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464456" w14:paraId="5F788BC8" w14:textId="77777777" w:rsidTr="00D9294E">
        <w:tc>
          <w:tcPr>
            <w:tcW w:w="10188" w:type="dxa"/>
          </w:tcPr>
          <w:p w14:paraId="501333FC" w14:textId="77777777" w:rsidR="00464456" w:rsidRDefault="00464456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 Segments (Sub-detail)</w:t>
            </w:r>
          </w:p>
          <w:p w14:paraId="0BBE273D" w14:textId="77777777" w:rsidR="00464456" w:rsidRDefault="00464456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(LQ02) Transaction Type</w:t>
            </w:r>
          </w:p>
          <w:p w14:paraId="18F3F6BA" w14:textId="77777777" w:rsidR="00464456" w:rsidRDefault="00464456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 – Add the following code values alphanumerically by code value</w:t>
            </w:r>
          </w:p>
          <w:p w14:paraId="2AC29BCC" w14:textId="77777777" w:rsidR="00702700" w:rsidRDefault="00C75A22" w:rsidP="00702700">
            <w:pPr>
              <w:rPr>
                <w:sz w:val="20"/>
                <w:szCs w:val="20"/>
              </w:rPr>
            </w:pPr>
            <w:r w:rsidRPr="00C75A22">
              <w:rPr>
                <w:sz w:val="20"/>
                <w:szCs w:val="20"/>
              </w:rPr>
              <w:t xml:space="preserve">             </w:t>
            </w:r>
            <w:r w:rsidRPr="00C75A22">
              <w:rPr>
                <w:sz w:val="20"/>
                <w:szCs w:val="20"/>
                <w:highlight w:val="yellow"/>
              </w:rPr>
              <w:t>‘17</w:t>
            </w:r>
            <w:r w:rsidR="00AF723B">
              <w:rPr>
                <w:sz w:val="20"/>
                <w:szCs w:val="20"/>
                <w:highlight w:val="yellow"/>
              </w:rPr>
              <w:t>1</w:t>
            </w:r>
            <w:r w:rsidRPr="00C75A22">
              <w:rPr>
                <w:sz w:val="20"/>
                <w:szCs w:val="20"/>
                <w:highlight w:val="yellow"/>
              </w:rPr>
              <w:t>’ with LQ02 Description ‘Swing on Storage Withdrawal’</w:t>
            </w:r>
          </w:p>
          <w:p w14:paraId="1E716635" w14:textId="3CE14FE3" w:rsidR="00702700" w:rsidRPr="00C75A22" w:rsidRDefault="00702700" w:rsidP="0070270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C75A22">
              <w:rPr>
                <w:sz w:val="20"/>
                <w:szCs w:val="20"/>
                <w:highlight w:val="yellow"/>
              </w:rPr>
              <w:t>‘17</w:t>
            </w:r>
            <w:r>
              <w:rPr>
                <w:sz w:val="20"/>
                <w:szCs w:val="20"/>
                <w:highlight w:val="yellow"/>
              </w:rPr>
              <w:t>2</w:t>
            </w:r>
            <w:r w:rsidRPr="00C75A22">
              <w:rPr>
                <w:sz w:val="20"/>
                <w:szCs w:val="20"/>
                <w:highlight w:val="yellow"/>
              </w:rPr>
              <w:t>’ with LQ02 Description ‘Swing on Storage Injection’</w:t>
            </w:r>
          </w:p>
          <w:p w14:paraId="7C944719" w14:textId="7F6ABCFE" w:rsidR="00C75A22" w:rsidRPr="005C5FDA" w:rsidRDefault="00C75A22" w:rsidP="00464456">
            <w:pPr>
              <w:rPr>
                <w:sz w:val="20"/>
                <w:szCs w:val="20"/>
              </w:rPr>
            </w:pPr>
          </w:p>
        </w:tc>
      </w:tr>
    </w:tbl>
    <w:p w14:paraId="4D5AA74C" w14:textId="77777777" w:rsidR="00231970" w:rsidRPr="00231970" w:rsidRDefault="00231970" w:rsidP="00813AE9">
      <w:pPr>
        <w:ind w:left="360"/>
        <w:rPr>
          <w:sz w:val="20"/>
          <w:szCs w:val="20"/>
        </w:rPr>
      </w:pPr>
    </w:p>
    <w:p w14:paraId="50AA9078" w14:textId="1FB27CDC" w:rsidR="00AF00CF" w:rsidRDefault="00464D0F" w:rsidP="00813AE9">
      <w:pPr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>Document: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NAESB WGQ Standard No. 2.4.4</w:t>
      </w:r>
      <w:r>
        <w:rPr>
          <w:sz w:val="20"/>
          <w:szCs w:val="20"/>
        </w:rPr>
        <w:tab/>
        <w:t>Shipper Imbalance</w:t>
      </w:r>
    </w:p>
    <w:p w14:paraId="1D6CBE4B" w14:textId="6FCD09D3" w:rsidR="00464D0F" w:rsidRDefault="00464D0F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464D0F" w14:paraId="5A5126BB" w14:textId="77777777" w:rsidTr="00D9294E">
        <w:tc>
          <w:tcPr>
            <w:tcW w:w="10188" w:type="dxa"/>
          </w:tcPr>
          <w:p w14:paraId="0C9F6778" w14:textId="77777777" w:rsidR="00464D0F" w:rsidRDefault="00464D0F" w:rsidP="00D92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464D0F" w14:paraId="0D986E42" w14:textId="77777777" w:rsidTr="00D9294E">
        <w:tc>
          <w:tcPr>
            <w:tcW w:w="10188" w:type="dxa"/>
          </w:tcPr>
          <w:p w14:paraId="7647C05A" w14:textId="3C209E91" w:rsidR="00464D0F" w:rsidRDefault="00464D0F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 Segments (Sub-</w:t>
            </w:r>
            <w:r w:rsidR="00C420BB">
              <w:rPr>
                <w:sz w:val="20"/>
                <w:szCs w:val="20"/>
              </w:rPr>
              <w:t>sub-</w:t>
            </w:r>
            <w:r>
              <w:rPr>
                <w:sz w:val="20"/>
                <w:szCs w:val="20"/>
              </w:rPr>
              <w:t>detail</w:t>
            </w:r>
            <w:r w:rsidR="00C420BB">
              <w:rPr>
                <w:sz w:val="20"/>
                <w:szCs w:val="20"/>
              </w:rPr>
              <w:t xml:space="preserve"> – HL03 = ‘IA’</w:t>
            </w:r>
            <w:r>
              <w:rPr>
                <w:sz w:val="20"/>
                <w:szCs w:val="20"/>
              </w:rPr>
              <w:t>)</w:t>
            </w:r>
          </w:p>
          <w:p w14:paraId="39AB3688" w14:textId="77777777" w:rsidR="00464D0F" w:rsidRDefault="00464D0F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(LQ02) Transaction Type</w:t>
            </w:r>
          </w:p>
          <w:p w14:paraId="7857C05E" w14:textId="77777777" w:rsidR="00464D0F" w:rsidRDefault="00464D0F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 – Add the following code values alphanumerically by code value</w:t>
            </w:r>
          </w:p>
          <w:p w14:paraId="597BC27E" w14:textId="61560D69" w:rsidR="00464D0F" w:rsidRPr="00C75A22" w:rsidRDefault="00464D0F" w:rsidP="00D9294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14:paraId="1DD62731" w14:textId="77777777" w:rsidR="00702700" w:rsidRDefault="00464D0F" w:rsidP="00D9294E">
            <w:pPr>
              <w:rPr>
                <w:sz w:val="20"/>
                <w:szCs w:val="20"/>
                <w:highlight w:val="yellow"/>
              </w:rPr>
            </w:pPr>
            <w:r w:rsidRPr="00C75A22">
              <w:rPr>
                <w:sz w:val="20"/>
                <w:szCs w:val="20"/>
              </w:rPr>
              <w:t xml:space="preserve">             </w:t>
            </w:r>
            <w:r w:rsidRPr="00C75A22">
              <w:rPr>
                <w:sz w:val="20"/>
                <w:szCs w:val="20"/>
                <w:highlight w:val="yellow"/>
              </w:rPr>
              <w:t>‘17</w:t>
            </w:r>
            <w:r w:rsidR="00AF723B">
              <w:rPr>
                <w:sz w:val="20"/>
                <w:szCs w:val="20"/>
                <w:highlight w:val="yellow"/>
              </w:rPr>
              <w:t>1</w:t>
            </w:r>
            <w:r w:rsidRPr="00C75A22">
              <w:rPr>
                <w:sz w:val="20"/>
                <w:szCs w:val="20"/>
                <w:highlight w:val="yellow"/>
              </w:rPr>
              <w:t>’ with LQ02 Description ‘Swing on Storage Withdrawal’</w:t>
            </w:r>
          </w:p>
          <w:p w14:paraId="7BE14EC9" w14:textId="24BA3B26" w:rsidR="00464D0F" w:rsidRPr="005C5FDA" w:rsidRDefault="00702700" w:rsidP="00D9294E">
            <w:pPr>
              <w:rPr>
                <w:sz w:val="20"/>
                <w:szCs w:val="20"/>
              </w:rPr>
            </w:pPr>
            <w:r w:rsidRPr="00702700">
              <w:rPr>
                <w:sz w:val="20"/>
                <w:szCs w:val="20"/>
              </w:rPr>
              <w:t xml:space="preserve">             </w:t>
            </w:r>
            <w:r w:rsidRPr="00C75A22">
              <w:rPr>
                <w:sz w:val="20"/>
                <w:szCs w:val="20"/>
                <w:highlight w:val="yellow"/>
              </w:rPr>
              <w:t>‘17</w:t>
            </w:r>
            <w:r>
              <w:rPr>
                <w:sz w:val="20"/>
                <w:szCs w:val="20"/>
                <w:highlight w:val="yellow"/>
              </w:rPr>
              <w:t>2</w:t>
            </w:r>
            <w:r w:rsidRPr="00C75A22">
              <w:rPr>
                <w:sz w:val="20"/>
                <w:szCs w:val="20"/>
                <w:highlight w:val="yellow"/>
              </w:rPr>
              <w:t>’ with LQ02 Description ‘Swing on Storage Injection’</w:t>
            </w:r>
          </w:p>
        </w:tc>
      </w:tr>
    </w:tbl>
    <w:p w14:paraId="27FEE7E7" w14:textId="79135352" w:rsidR="00464D0F" w:rsidRDefault="00464D0F" w:rsidP="00813AE9">
      <w:pPr>
        <w:ind w:left="360"/>
        <w:rPr>
          <w:sz w:val="20"/>
          <w:szCs w:val="20"/>
        </w:rPr>
      </w:pPr>
    </w:p>
    <w:p w14:paraId="757058C9" w14:textId="5E8637A8" w:rsidR="00464D0F" w:rsidRDefault="00C420BB" w:rsidP="00813AE9">
      <w:pPr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>Document: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5E120C95" w14:textId="7579A730" w:rsidR="00C420BB" w:rsidRDefault="00C420BB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C420BB" w14:paraId="7300DC85" w14:textId="77777777" w:rsidTr="00D9294E">
        <w:tc>
          <w:tcPr>
            <w:tcW w:w="10188" w:type="dxa"/>
          </w:tcPr>
          <w:p w14:paraId="146B49F4" w14:textId="77777777" w:rsidR="00C420BB" w:rsidRDefault="00C420BB" w:rsidP="00D92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C420BB" w14:paraId="39F5480F" w14:textId="77777777" w:rsidTr="00D9294E">
        <w:tc>
          <w:tcPr>
            <w:tcW w:w="10188" w:type="dxa"/>
          </w:tcPr>
          <w:p w14:paraId="0318D414" w14:textId="7873737E" w:rsidR="00C420BB" w:rsidRDefault="00C420BB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 Segments (Sub-detail – HL03 = ‘9’)</w:t>
            </w:r>
          </w:p>
          <w:p w14:paraId="6A8CBD2F" w14:textId="77777777" w:rsidR="00C420BB" w:rsidRDefault="00C420BB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(LQ02) Transaction Type</w:t>
            </w:r>
          </w:p>
          <w:p w14:paraId="34429D94" w14:textId="77777777" w:rsidR="00C420BB" w:rsidRDefault="00C420BB" w:rsidP="00D9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 – Add the following code values alphanumerically by code value</w:t>
            </w:r>
          </w:p>
          <w:p w14:paraId="7EB2C4E9" w14:textId="77777777" w:rsidR="00702700" w:rsidRDefault="00C420BB" w:rsidP="00D9294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702700" w:rsidRPr="00C75A22">
              <w:rPr>
                <w:sz w:val="20"/>
                <w:szCs w:val="20"/>
                <w:highlight w:val="yellow"/>
              </w:rPr>
              <w:t>‘17</w:t>
            </w:r>
            <w:r w:rsidR="00702700">
              <w:rPr>
                <w:sz w:val="20"/>
                <w:szCs w:val="20"/>
                <w:highlight w:val="yellow"/>
              </w:rPr>
              <w:t>1</w:t>
            </w:r>
            <w:r w:rsidR="00702700" w:rsidRPr="00C75A22">
              <w:rPr>
                <w:sz w:val="20"/>
                <w:szCs w:val="20"/>
                <w:highlight w:val="yellow"/>
              </w:rPr>
              <w:t xml:space="preserve">’ with LQ02 Description ‘Swing on Storage Withdrawal’ </w:t>
            </w:r>
          </w:p>
          <w:p w14:paraId="7AA3F7A6" w14:textId="03AFC939" w:rsidR="00C420BB" w:rsidRPr="00C75A22" w:rsidRDefault="00702700" w:rsidP="00D9294E">
            <w:pPr>
              <w:rPr>
                <w:sz w:val="20"/>
                <w:szCs w:val="20"/>
                <w:highlight w:val="yellow"/>
              </w:rPr>
            </w:pPr>
            <w:r w:rsidRPr="00702700">
              <w:rPr>
                <w:sz w:val="20"/>
                <w:szCs w:val="20"/>
              </w:rPr>
              <w:t xml:space="preserve">             </w:t>
            </w:r>
            <w:r w:rsidR="00C420BB" w:rsidRPr="00C75A22">
              <w:rPr>
                <w:sz w:val="20"/>
                <w:szCs w:val="20"/>
                <w:highlight w:val="yellow"/>
              </w:rPr>
              <w:t>‘17</w:t>
            </w:r>
            <w:r w:rsidR="00AF723B">
              <w:rPr>
                <w:sz w:val="20"/>
                <w:szCs w:val="20"/>
                <w:highlight w:val="yellow"/>
              </w:rPr>
              <w:t>2</w:t>
            </w:r>
            <w:r w:rsidR="00C420BB" w:rsidRPr="00C75A22">
              <w:rPr>
                <w:sz w:val="20"/>
                <w:szCs w:val="20"/>
                <w:highlight w:val="yellow"/>
              </w:rPr>
              <w:t>’ with LQ02 Description ‘Swing on Storage Injection’</w:t>
            </w:r>
          </w:p>
          <w:p w14:paraId="7F60A70B" w14:textId="5D3E8B58" w:rsidR="00C420BB" w:rsidRPr="005C5FDA" w:rsidRDefault="00C420BB" w:rsidP="00D9294E">
            <w:pPr>
              <w:rPr>
                <w:sz w:val="20"/>
                <w:szCs w:val="20"/>
              </w:rPr>
            </w:pPr>
            <w:r w:rsidRPr="00C75A22">
              <w:rPr>
                <w:sz w:val="20"/>
                <w:szCs w:val="20"/>
              </w:rPr>
              <w:t xml:space="preserve">             </w:t>
            </w:r>
          </w:p>
        </w:tc>
      </w:tr>
    </w:tbl>
    <w:p w14:paraId="570FCE54" w14:textId="77777777" w:rsidR="00C420BB" w:rsidRPr="00C420BB" w:rsidRDefault="00C420BB" w:rsidP="00813AE9">
      <w:pPr>
        <w:ind w:left="360"/>
        <w:rPr>
          <w:sz w:val="20"/>
          <w:szCs w:val="20"/>
        </w:rPr>
      </w:pPr>
    </w:p>
    <w:p w14:paraId="41CB4F94" w14:textId="2FB8B4E9" w:rsidR="00C420BB" w:rsidRDefault="00C420BB" w:rsidP="00813AE9">
      <w:pPr>
        <w:ind w:left="360"/>
        <w:rPr>
          <w:sz w:val="20"/>
          <w:szCs w:val="20"/>
        </w:rPr>
      </w:pPr>
    </w:p>
    <w:p w14:paraId="5C0127CF" w14:textId="77777777" w:rsidR="00C420BB" w:rsidRDefault="00C420BB" w:rsidP="00813AE9">
      <w:pPr>
        <w:ind w:left="360"/>
        <w:rPr>
          <w:sz w:val="20"/>
          <w:szCs w:val="20"/>
        </w:rPr>
      </w:pPr>
    </w:p>
    <w:p w14:paraId="4DD5E3D7" w14:textId="77777777" w:rsidR="008C518D" w:rsidRDefault="008C518D" w:rsidP="00813AE9">
      <w:pPr>
        <w:ind w:left="360"/>
        <w:rPr>
          <w:sz w:val="20"/>
          <w:szCs w:val="20"/>
        </w:rPr>
        <w:sectPr w:rsidR="008C518D" w:rsidSect="009C6187"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lastRenderedPageBreak/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4186B1AB" w14:textId="2A10C688" w:rsidR="000D4066" w:rsidRDefault="004409C7" w:rsidP="00A45574">
      <w:pPr>
        <w:autoSpaceDE w:val="0"/>
        <w:autoSpaceDN w:val="0"/>
        <w:adjustRightInd w:val="0"/>
        <w:ind w:left="720"/>
        <w:rPr>
          <w:sz w:val="22"/>
        </w:rPr>
      </w:pPr>
      <w:r w:rsidRPr="004409C7">
        <w:rPr>
          <w:sz w:val="22"/>
        </w:rPr>
        <w:t>For the data set above, add two Code Value Definition for Transaction Type to reflect Swing on Storage Injection and Swing on Storage Withdrawal.</w:t>
      </w:r>
    </w:p>
    <w:p w14:paraId="609D10E5" w14:textId="77777777" w:rsidR="004409C7" w:rsidRPr="00372EBC" w:rsidRDefault="004409C7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146139C3" w14:textId="08091B2D" w:rsidR="00240BE8" w:rsidRDefault="004409C7" w:rsidP="00240BE8">
      <w:pPr>
        <w:pStyle w:val="ListParagraph"/>
        <w:contextualSpacing w:val="0"/>
        <w:rPr>
          <w:color w:val="000000"/>
          <w:sz w:val="22"/>
          <w:shd w:val="clear" w:color="auto" w:fill="FFFFFF"/>
        </w:rPr>
      </w:pPr>
      <w:r w:rsidRPr="004409C7">
        <w:rPr>
          <w:color w:val="000000"/>
          <w:sz w:val="22"/>
          <w:shd w:val="clear" w:color="auto" w:fill="FFFFFF"/>
        </w:rPr>
        <w:t>Tennessee Gas Pipeline Tariff allows customers to set up a Swing on Storage automatically resolving imbalances. The two new transaction types will allow the customers to see the quantity that swings on storage.</w:t>
      </w:r>
    </w:p>
    <w:p w14:paraId="73774B16" w14:textId="77777777" w:rsidR="00FD3DCE" w:rsidRPr="00FD3DCE" w:rsidRDefault="00FD3DCE" w:rsidP="00FD3DCE">
      <w:pPr>
        <w:pStyle w:val="ListParagraph"/>
        <w:rPr>
          <w:color w:val="4F81BD" w:themeColor="accent1"/>
          <w:sz w:val="22"/>
          <w:shd w:val="clear" w:color="auto" w:fill="FFFFFF"/>
        </w:rPr>
      </w:pPr>
      <w:r w:rsidRPr="00FD3DCE">
        <w:rPr>
          <w:color w:val="4F81BD" w:themeColor="accent1"/>
          <w:sz w:val="22"/>
          <w:shd w:val="clear" w:color="auto" w:fill="FFFFFF"/>
        </w:rPr>
        <w:t>TGP Tariff -</w:t>
      </w:r>
    </w:p>
    <w:p w14:paraId="42888F17" w14:textId="77777777" w:rsidR="00FD3DCE" w:rsidRPr="00FD3DCE" w:rsidRDefault="00FD3DCE" w:rsidP="00FD3DCE">
      <w:pPr>
        <w:pStyle w:val="ListParagraph"/>
        <w:rPr>
          <w:b/>
          <w:bCs/>
          <w:color w:val="000000"/>
          <w:sz w:val="22"/>
          <w:shd w:val="clear" w:color="auto" w:fill="FFFFFF"/>
        </w:rPr>
      </w:pPr>
      <w:r w:rsidRPr="00FD3DCE">
        <w:rPr>
          <w:b/>
          <w:bCs/>
          <w:color w:val="000000"/>
          <w:sz w:val="22"/>
          <w:shd w:val="clear" w:color="auto" w:fill="FFFFFF"/>
        </w:rPr>
        <w:t>Monthly Scheduling and Balancing</w:t>
      </w:r>
    </w:p>
    <w:p w14:paraId="0BE64830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 xml:space="preserve">Shippers </w:t>
      </w:r>
      <w:proofErr w:type="gramStart"/>
      <w:r w:rsidRPr="00FD3DCE">
        <w:rPr>
          <w:color w:val="000000"/>
          <w:sz w:val="20"/>
          <w:szCs w:val="20"/>
          <w:shd w:val="clear" w:color="auto" w:fill="FFFFFF"/>
        </w:rPr>
        <w:t>which</w:t>
      </w:r>
      <w:proofErr w:type="gramEnd"/>
      <w:r w:rsidRPr="00FD3DCE">
        <w:rPr>
          <w:color w:val="000000"/>
          <w:sz w:val="20"/>
          <w:szCs w:val="20"/>
          <w:shd w:val="clear" w:color="auto" w:fill="FFFFFF"/>
        </w:rPr>
        <w:t xml:space="preserve"> have elected to receive storage from Transporter may use that service in conjunction with</w:t>
      </w:r>
    </w:p>
    <w:p w14:paraId="1C6C2352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service under this Rate Schedule to effect load balancing. These shippers shall provide Transporter, five</w:t>
      </w:r>
    </w:p>
    <w:p w14:paraId="7B93B802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days prior to the beginning of the month, a projection of the average daily load to be transported under</w:t>
      </w:r>
    </w:p>
    <w:p w14:paraId="6D071FE8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this Rate Schedule on each day in the following month. To the extent that Shipper's actual load is above</w:t>
      </w:r>
    </w:p>
    <w:p w14:paraId="455FF8CC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or below the projected amount for a given day, Transporter shall withdraw or inject, as applicable, the</w:t>
      </w:r>
    </w:p>
    <w:p w14:paraId="0DD88B25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corresponding amount of gas from Shipper's storage account. Such adjustment to Shipper's storage</w:t>
      </w:r>
    </w:p>
    <w:p w14:paraId="475EC689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account shall be done automatically, unless otherwise specified in instructions provided by Shipper or</w:t>
      </w:r>
    </w:p>
    <w:p w14:paraId="19F3432C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Shipper's agent. Shippers will not be subject to the Daily Variance provisions of Rate Schedule LMS-MA if</w:t>
      </w:r>
    </w:p>
    <w:p w14:paraId="2464BAD0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they have elected to utilize the contract storage service as provided in this Section 8.</w:t>
      </w:r>
    </w:p>
    <w:p w14:paraId="6E5B1721" w14:textId="77777777" w:rsid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</w:p>
    <w:p w14:paraId="475F9082" w14:textId="139FA3C9" w:rsidR="00FD3DCE" w:rsidRPr="00FD3DCE" w:rsidRDefault="00FD3DCE" w:rsidP="00FD3DCE">
      <w:pPr>
        <w:pStyle w:val="ListParagraph"/>
        <w:rPr>
          <w:b/>
          <w:bCs/>
          <w:color w:val="000000"/>
          <w:sz w:val="22"/>
          <w:shd w:val="clear" w:color="auto" w:fill="FFFFFF"/>
        </w:rPr>
      </w:pPr>
      <w:r w:rsidRPr="00FD3DCE">
        <w:rPr>
          <w:b/>
          <w:bCs/>
          <w:color w:val="000000"/>
          <w:sz w:val="22"/>
          <w:shd w:val="clear" w:color="auto" w:fill="FFFFFF"/>
        </w:rPr>
        <w:t>LMS-MA Section 8 - Storage Swing Option</w:t>
      </w:r>
    </w:p>
    <w:p w14:paraId="3837A7FD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(a) A Balancing Party meeting the requirements set forth in this section may elect to resolve Daily</w:t>
      </w:r>
    </w:p>
    <w:p w14:paraId="4A3469CE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Imbalances through the Storage Swing Option. The Storage Swing Option is designed to allow a</w:t>
      </w:r>
    </w:p>
    <w:p w14:paraId="57CBD5F5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Balancing Party with access to storage contracts provided by Transporter under Rate Schedule FS</w:t>
      </w:r>
    </w:p>
    <w:p w14:paraId="41DBF4D7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or IS to use such access for balancing of Daily Imbalances. A Balancing Party may use any</w:t>
      </w:r>
    </w:p>
    <w:p w14:paraId="2E4CB7F8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number of designated FS or IS contracts at a time for swing purposes. Balancing Party's rights</w:t>
      </w:r>
    </w:p>
    <w:p w14:paraId="503A7318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hereunder shall be limited to those of the contracting party under the applicable FS or IS</w:t>
      </w:r>
    </w:p>
    <w:p w14:paraId="6D5E3CED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contracts.</w:t>
      </w:r>
    </w:p>
    <w:p w14:paraId="53544ECD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(b) Storage Swing Using a Storage Contract(s)</w:t>
      </w:r>
    </w:p>
    <w:p w14:paraId="645FEE4E" w14:textId="0E3FEAC9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(</w:t>
      </w:r>
      <w:proofErr w:type="spellStart"/>
      <w:r w:rsidRPr="00FD3DCE">
        <w:rPr>
          <w:color w:val="000000"/>
          <w:sz w:val="20"/>
          <w:szCs w:val="20"/>
          <w:shd w:val="clear" w:color="auto" w:fill="FFFFFF"/>
        </w:rPr>
        <w:t>i</w:t>
      </w:r>
      <w:proofErr w:type="spellEnd"/>
      <w:r w:rsidRPr="00FD3DCE">
        <w:rPr>
          <w:color w:val="000000"/>
          <w:sz w:val="20"/>
          <w:szCs w:val="20"/>
          <w:shd w:val="clear" w:color="auto" w:fill="FFFFFF"/>
        </w:rPr>
        <w:t>) General Requirements: A Balancing Party electing to use a storage contract(s) under</w:t>
      </w:r>
      <w:r w:rsidR="008F263D">
        <w:rPr>
          <w:color w:val="000000"/>
          <w:sz w:val="20"/>
          <w:szCs w:val="20"/>
          <w:shd w:val="clear" w:color="auto" w:fill="FFFFFF"/>
        </w:rPr>
        <w:t xml:space="preserve"> Transporter’s</w:t>
      </w:r>
    </w:p>
    <w:p w14:paraId="4F460C63" w14:textId="64E91960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 xml:space="preserve">Rate Schedule FS or IS for swing purposes must provide Transporter </w:t>
      </w:r>
      <w:r w:rsidR="008F263D">
        <w:rPr>
          <w:color w:val="000000"/>
          <w:sz w:val="20"/>
          <w:szCs w:val="20"/>
          <w:shd w:val="clear" w:color="auto" w:fill="FFFFFF"/>
        </w:rPr>
        <w:t>with the following information no</w:t>
      </w:r>
    </w:p>
    <w:p w14:paraId="4E00A45C" w14:textId="38A45F50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later than 2 business days prior to when the Storage Swing</w:t>
      </w:r>
      <w:r w:rsidR="008F263D">
        <w:rPr>
          <w:color w:val="000000"/>
          <w:sz w:val="20"/>
          <w:szCs w:val="20"/>
          <w:shd w:val="clear" w:color="auto" w:fill="FFFFFF"/>
        </w:rPr>
        <w:t xml:space="preserve"> </w:t>
      </w:r>
      <w:r w:rsidRPr="00FD3DCE">
        <w:rPr>
          <w:color w:val="000000"/>
          <w:sz w:val="20"/>
          <w:szCs w:val="20"/>
          <w:shd w:val="clear" w:color="auto" w:fill="FFFFFF"/>
        </w:rPr>
        <w:t>Option is to be effective and for each subsequent re-election consistent with Section 5 of</w:t>
      </w:r>
      <w:r w:rsidR="008F263D">
        <w:rPr>
          <w:color w:val="000000"/>
          <w:sz w:val="20"/>
          <w:szCs w:val="20"/>
          <w:shd w:val="clear" w:color="auto" w:fill="FFFFFF"/>
        </w:rPr>
        <w:t xml:space="preserve"> </w:t>
      </w:r>
      <w:r w:rsidRPr="00FD3DCE">
        <w:rPr>
          <w:color w:val="000000"/>
          <w:sz w:val="20"/>
          <w:szCs w:val="20"/>
          <w:shd w:val="clear" w:color="auto" w:fill="FFFFFF"/>
        </w:rPr>
        <w:t>Rate Schedule LMS-MA: FS or IS contract number(s), FS or IS contracting party(s), any</w:t>
      </w:r>
      <w:r w:rsidR="008F263D">
        <w:rPr>
          <w:color w:val="000000"/>
          <w:sz w:val="20"/>
          <w:szCs w:val="20"/>
          <w:shd w:val="clear" w:color="auto" w:fill="FFFFFF"/>
        </w:rPr>
        <w:t xml:space="preserve"> </w:t>
      </w:r>
      <w:r w:rsidRPr="00FD3DCE">
        <w:rPr>
          <w:color w:val="000000"/>
          <w:sz w:val="20"/>
          <w:szCs w:val="20"/>
          <w:shd w:val="clear" w:color="auto" w:fill="FFFFFF"/>
        </w:rPr>
        <w:t>applicable agency contract number(s), any applicable agent(s</w:t>
      </w:r>
      <w:proofErr w:type="gramStart"/>
      <w:r w:rsidRPr="00FD3DCE">
        <w:rPr>
          <w:color w:val="000000"/>
          <w:sz w:val="20"/>
          <w:szCs w:val="20"/>
          <w:shd w:val="clear" w:color="auto" w:fill="FFFFFF"/>
        </w:rPr>
        <w:t>)</w:t>
      </w:r>
      <w:proofErr w:type="gramEnd"/>
      <w:r w:rsidRPr="00FD3DCE">
        <w:rPr>
          <w:color w:val="000000"/>
          <w:sz w:val="20"/>
          <w:szCs w:val="20"/>
          <w:shd w:val="clear" w:color="auto" w:fill="FFFFFF"/>
        </w:rPr>
        <w:t xml:space="preserve"> and its fuel election as</w:t>
      </w:r>
      <w:r w:rsidR="008F263D">
        <w:rPr>
          <w:color w:val="000000"/>
          <w:sz w:val="20"/>
          <w:szCs w:val="20"/>
          <w:shd w:val="clear" w:color="auto" w:fill="FFFFFF"/>
        </w:rPr>
        <w:t xml:space="preserve"> </w:t>
      </w:r>
      <w:r w:rsidRPr="00FD3DCE">
        <w:rPr>
          <w:color w:val="000000"/>
          <w:sz w:val="20"/>
          <w:szCs w:val="20"/>
          <w:shd w:val="clear" w:color="auto" w:fill="FFFFFF"/>
        </w:rPr>
        <w:t>provided in Section 8(c) of this Rate Schedule and any applicable ranking of the storage</w:t>
      </w:r>
    </w:p>
    <w:p w14:paraId="09AE3F95" w14:textId="77777777" w:rsidR="00FD3DCE" w:rsidRPr="00FD3DCE" w:rsidRDefault="00FD3DCE" w:rsidP="00FD3DCE">
      <w:pPr>
        <w:pStyle w:val="ListParagraph"/>
        <w:rPr>
          <w:color w:val="000000"/>
          <w:sz w:val="20"/>
          <w:szCs w:val="20"/>
          <w:shd w:val="clear" w:color="auto" w:fill="FFFFFF"/>
        </w:rPr>
      </w:pPr>
      <w:r w:rsidRPr="00FD3DCE">
        <w:rPr>
          <w:color w:val="000000"/>
          <w:sz w:val="20"/>
          <w:szCs w:val="20"/>
          <w:shd w:val="clear" w:color="auto" w:fill="FFFFFF"/>
        </w:rPr>
        <w:t>contracts.</w:t>
      </w:r>
    </w:p>
    <w:p w14:paraId="2DFC11F4" w14:textId="3A498D38" w:rsidR="004409C7" w:rsidRDefault="004409C7" w:rsidP="00240BE8">
      <w:pPr>
        <w:pStyle w:val="ListParagraph"/>
        <w:contextualSpacing w:val="0"/>
        <w:rPr>
          <w:color w:val="000000"/>
          <w:sz w:val="22"/>
          <w:shd w:val="clear" w:color="auto" w:fill="FFFFFF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3E213BE4" w:rsidR="00E671B4" w:rsidRPr="00710548" w:rsidRDefault="00442056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September 28, 2022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637026C8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AF7F3B">
        <w:rPr>
          <w:sz w:val="22"/>
        </w:rPr>
        <w:t>20</w:t>
      </w:r>
      <w:r w:rsidR="00DA08E1">
        <w:rPr>
          <w:sz w:val="22"/>
        </w:rPr>
        <w:t>1</w:t>
      </w:r>
      <w:r w:rsidR="00213EE7">
        <w:rPr>
          <w:sz w:val="22"/>
        </w:rPr>
        <w:t>1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>3.</w:t>
      </w:r>
      <w:r w:rsidR="00AF7F3B">
        <w:rPr>
          <w:sz w:val="22"/>
        </w:rPr>
        <w:t>3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C1350B">
        <w:rPr>
          <w:sz w:val="22"/>
        </w:rPr>
        <w:t>3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AF7F3B">
        <w:rPr>
          <w:sz w:val="22"/>
        </w:rPr>
        <w:t>Sept 28, 2022</w:t>
      </w:r>
      <w:r w:rsidR="005430D4">
        <w:rPr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4ADFF838" w:rsidR="00363C04" w:rsidRPr="00710548" w:rsidRDefault="00D7032E" w:rsidP="00363C04">
      <w:pPr>
        <w:ind w:left="1080"/>
        <w:rPr>
          <w:iCs/>
          <w:sz w:val="22"/>
        </w:rPr>
      </w:pPr>
      <w:r w:rsidRPr="00AF7F3B">
        <w:rPr>
          <w:i/>
          <w:sz w:val="22"/>
          <w:highlight w:val="cyan"/>
        </w:rPr>
        <w:t>Motion Passe</w:t>
      </w:r>
      <w:r w:rsidR="002D7AA2" w:rsidRPr="00AF7F3B">
        <w:rPr>
          <w:i/>
          <w:sz w:val="22"/>
          <w:highlight w:val="cyan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14D7" w14:textId="77777777" w:rsidR="0075505E" w:rsidRDefault="0075505E" w:rsidP="009C6187">
      <w:r>
        <w:separator/>
      </w:r>
    </w:p>
  </w:endnote>
  <w:endnote w:type="continuationSeparator" w:id="0">
    <w:p w14:paraId="0F552322" w14:textId="77777777" w:rsidR="0075505E" w:rsidRDefault="0075505E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F1E9" w14:textId="77777777" w:rsidR="0075505E" w:rsidRDefault="0075505E" w:rsidP="009C6187">
      <w:r>
        <w:separator/>
      </w:r>
    </w:p>
  </w:footnote>
  <w:footnote w:type="continuationSeparator" w:id="0">
    <w:p w14:paraId="6B710488" w14:textId="77777777" w:rsidR="0075505E" w:rsidRDefault="0075505E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5430D4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25870305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69BE8A8E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2B2A74"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0B43CD">
                            <w:rPr>
                              <w:sz w:val="22"/>
                            </w:rPr>
                            <w:t>20</w:t>
                          </w:r>
                          <w:r w:rsidR="00DA55CB">
                            <w:rPr>
                              <w:sz w:val="22"/>
                            </w:rPr>
                            <w:t>1</w:t>
                          </w:r>
                          <w:r w:rsidR="00797F11">
                            <w:rPr>
                              <w:sz w:val="22"/>
                            </w:rPr>
                            <w:t>1</w:t>
                          </w:r>
                        </w:p>
                        <w:p w14:paraId="05567BE5" w14:textId="4DD6588E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2B2A74">
                            <w:rPr>
                              <w:b/>
                              <w:sz w:val="22"/>
                            </w:rPr>
                            <w:tab/>
                          </w:r>
                          <w:r w:rsidR="00797F11">
                            <w:rPr>
                              <w:sz w:val="22"/>
                            </w:rPr>
                            <w:t>Kinder Morgan</w:t>
                          </w:r>
                          <w:r w:rsidR="000B43CD">
                            <w:rPr>
                              <w:sz w:val="22"/>
                            </w:rPr>
                            <w:t xml:space="preserve">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69BE8A8E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2B2A74"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</w:t>
                    </w:r>
                    <w:r w:rsidR="000B43CD">
                      <w:rPr>
                        <w:sz w:val="22"/>
                      </w:rPr>
                      <w:t>20</w:t>
                    </w:r>
                    <w:r w:rsidR="00DA55CB">
                      <w:rPr>
                        <w:sz w:val="22"/>
                      </w:rPr>
                      <w:t>1</w:t>
                    </w:r>
                    <w:r w:rsidR="00797F11">
                      <w:rPr>
                        <w:sz w:val="22"/>
                      </w:rPr>
                      <w:t>1</w:t>
                    </w:r>
                  </w:p>
                  <w:p w14:paraId="05567BE5" w14:textId="4DD6588E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2B2A74">
                      <w:rPr>
                        <w:b/>
                        <w:sz w:val="22"/>
                      </w:rPr>
                      <w:tab/>
                    </w:r>
                    <w:r w:rsidR="00797F11">
                      <w:rPr>
                        <w:sz w:val="22"/>
                      </w:rPr>
                      <w:t>Kinder Morgan</w:t>
                    </w:r>
                    <w:r w:rsidR="000B43CD">
                      <w:rPr>
                        <w:sz w:val="22"/>
                      </w:rPr>
                      <w:t xml:space="preserve">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7C7"/>
    <w:multiLevelType w:val="multilevel"/>
    <w:tmpl w:val="FC5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5EEE"/>
    <w:multiLevelType w:val="hybridMultilevel"/>
    <w:tmpl w:val="57B2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AC0"/>
    <w:multiLevelType w:val="multilevel"/>
    <w:tmpl w:val="3CA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F548AD"/>
    <w:multiLevelType w:val="hybridMultilevel"/>
    <w:tmpl w:val="4896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16991"/>
    <w:rsid w:val="00034BA9"/>
    <w:rsid w:val="00047CE2"/>
    <w:rsid w:val="00063408"/>
    <w:rsid w:val="000674DC"/>
    <w:rsid w:val="00067D97"/>
    <w:rsid w:val="00084C9E"/>
    <w:rsid w:val="0009168A"/>
    <w:rsid w:val="000B43CD"/>
    <w:rsid w:val="000D4066"/>
    <w:rsid w:val="000D7A82"/>
    <w:rsid w:val="000E561C"/>
    <w:rsid w:val="000F28DC"/>
    <w:rsid w:val="0011489F"/>
    <w:rsid w:val="00151344"/>
    <w:rsid w:val="00153720"/>
    <w:rsid w:val="00177E23"/>
    <w:rsid w:val="001B197B"/>
    <w:rsid w:val="001C1808"/>
    <w:rsid w:val="001D232F"/>
    <w:rsid w:val="001D6C89"/>
    <w:rsid w:val="001F1419"/>
    <w:rsid w:val="0020678B"/>
    <w:rsid w:val="00213EE7"/>
    <w:rsid w:val="002208DB"/>
    <w:rsid w:val="00231970"/>
    <w:rsid w:val="0023663A"/>
    <w:rsid w:val="00240BE8"/>
    <w:rsid w:val="00290A2B"/>
    <w:rsid w:val="002B2A74"/>
    <w:rsid w:val="002D7AA2"/>
    <w:rsid w:val="003038CE"/>
    <w:rsid w:val="003121AD"/>
    <w:rsid w:val="00344AF1"/>
    <w:rsid w:val="00346F49"/>
    <w:rsid w:val="00347AC6"/>
    <w:rsid w:val="0036255F"/>
    <w:rsid w:val="00363279"/>
    <w:rsid w:val="00363C04"/>
    <w:rsid w:val="00372EBC"/>
    <w:rsid w:val="0038157B"/>
    <w:rsid w:val="003B5CB2"/>
    <w:rsid w:val="003C5F44"/>
    <w:rsid w:val="00417D31"/>
    <w:rsid w:val="00422D10"/>
    <w:rsid w:val="004409C7"/>
    <w:rsid w:val="00442056"/>
    <w:rsid w:val="00450ABA"/>
    <w:rsid w:val="00464456"/>
    <w:rsid w:val="00464D0F"/>
    <w:rsid w:val="0049109B"/>
    <w:rsid w:val="004C4206"/>
    <w:rsid w:val="00506D0E"/>
    <w:rsid w:val="005430D4"/>
    <w:rsid w:val="0058721C"/>
    <w:rsid w:val="00591D9D"/>
    <w:rsid w:val="005A78CD"/>
    <w:rsid w:val="005C4EF7"/>
    <w:rsid w:val="005E6949"/>
    <w:rsid w:val="005F3341"/>
    <w:rsid w:val="0060328D"/>
    <w:rsid w:val="006864B9"/>
    <w:rsid w:val="00690EF3"/>
    <w:rsid w:val="006944DD"/>
    <w:rsid w:val="006B01B8"/>
    <w:rsid w:val="006B6438"/>
    <w:rsid w:val="00702700"/>
    <w:rsid w:val="007059E0"/>
    <w:rsid w:val="007061D8"/>
    <w:rsid w:val="00710548"/>
    <w:rsid w:val="007170F2"/>
    <w:rsid w:val="007178E0"/>
    <w:rsid w:val="0075505E"/>
    <w:rsid w:val="00757433"/>
    <w:rsid w:val="007645C7"/>
    <w:rsid w:val="00797F11"/>
    <w:rsid w:val="007D3E43"/>
    <w:rsid w:val="007D4F88"/>
    <w:rsid w:val="007D6CDA"/>
    <w:rsid w:val="008005B7"/>
    <w:rsid w:val="00813AE9"/>
    <w:rsid w:val="00840FD0"/>
    <w:rsid w:val="00894217"/>
    <w:rsid w:val="008A25E8"/>
    <w:rsid w:val="008A7E3E"/>
    <w:rsid w:val="008C518D"/>
    <w:rsid w:val="008E2F11"/>
    <w:rsid w:val="008E3F03"/>
    <w:rsid w:val="008F263D"/>
    <w:rsid w:val="0091761B"/>
    <w:rsid w:val="009752C0"/>
    <w:rsid w:val="00994C55"/>
    <w:rsid w:val="009B7154"/>
    <w:rsid w:val="009C5D12"/>
    <w:rsid w:val="009C6187"/>
    <w:rsid w:val="009E7C68"/>
    <w:rsid w:val="009F728A"/>
    <w:rsid w:val="00A45574"/>
    <w:rsid w:val="00A71563"/>
    <w:rsid w:val="00A73079"/>
    <w:rsid w:val="00A82A0C"/>
    <w:rsid w:val="00A8451E"/>
    <w:rsid w:val="00AF00CF"/>
    <w:rsid w:val="00AF723B"/>
    <w:rsid w:val="00AF7F3B"/>
    <w:rsid w:val="00B1720D"/>
    <w:rsid w:val="00B4624D"/>
    <w:rsid w:val="00B47676"/>
    <w:rsid w:val="00B573E4"/>
    <w:rsid w:val="00B867EB"/>
    <w:rsid w:val="00BB339B"/>
    <w:rsid w:val="00BD17BB"/>
    <w:rsid w:val="00C1350B"/>
    <w:rsid w:val="00C1393A"/>
    <w:rsid w:val="00C353BF"/>
    <w:rsid w:val="00C420BB"/>
    <w:rsid w:val="00C75A22"/>
    <w:rsid w:val="00C92E4A"/>
    <w:rsid w:val="00C95798"/>
    <w:rsid w:val="00D02EAE"/>
    <w:rsid w:val="00D17E94"/>
    <w:rsid w:val="00D2182F"/>
    <w:rsid w:val="00D22F1A"/>
    <w:rsid w:val="00D31A80"/>
    <w:rsid w:val="00D479F8"/>
    <w:rsid w:val="00D7032E"/>
    <w:rsid w:val="00DA08E1"/>
    <w:rsid w:val="00DA55CB"/>
    <w:rsid w:val="00DC03B3"/>
    <w:rsid w:val="00DC0B84"/>
    <w:rsid w:val="00DC4390"/>
    <w:rsid w:val="00DE3F3C"/>
    <w:rsid w:val="00E03C91"/>
    <w:rsid w:val="00E26A0F"/>
    <w:rsid w:val="00E46916"/>
    <w:rsid w:val="00E63535"/>
    <w:rsid w:val="00E65983"/>
    <w:rsid w:val="00E671B4"/>
    <w:rsid w:val="00E67BE9"/>
    <w:rsid w:val="00E84745"/>
    <w:rsid w:val="00EA0B19"/>
    <w:rsid w:val="00ED453C"/>
    <w:rsid w:val="00ED540C"/>
    <w:rsid w:val="00ED6CC8"/>
    <w:rsid w:val="00F109CB"/>
    <w:rsid w:val="00F16784"/>
    <w:rsid w:val="00F51BD9"/>
    <w:rsid w:val="00F53967"/>
    <w:rsid w:val="00F54AD8"/>
    <w:rsid w:val="00FD3DCE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  <w:style w:type="paragraph" w:customStyle="1" w:styleId="paragraph">
    <w:name w:val="paragraph"/>
    <w:basedOn w:val="Normal"/>
    <w:rsid w:val="00757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57433"/>
  </w:style>
  <w:style w:type="character" w:customStyle="1" w:styleId="scxw75740386">
    <w:name w:val="scxw75740386"/>
    <w:basedOn w:val="DefaultParagraphFont"/>
    <w:rsid w:val="00757433"/>
  </w:style>
  <w:style w:type="character" w:customStyle="1" w:styleId="eop">
    <w:name w:val="eop"/>
    <w:basedOn w:val="DefaultParagraphFont"/>
    <w:rsid w:val="00757433"/>
  </w:style>
  <w:style w:type="character" w:customStyle="1" w:styleId="superscript">
    <w:name w:val="superscript"/>
    <w:basedOn w:val="DefaultParagraphFont"/>
    <w:rsid w:val="0075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77</cp:revision>
  <dcterms:created xsi:type="dcterms:W3CDTF">2022-09-14T13:32:00Z</dcterms:created>
  <dcterms:modified xsi:type="dcterms:W3CDTF">2022-09-28T15:39:00Z</dcterms:modified>
</cp:coreProperties>
</file>