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FBEF5B" w14:textId="77777777" w:rsidR="00F75E6C" w:rsidRPr="00F75E6C" w:rsidRDefault="00F75E6C" w:rsidP="00F75E6C">
      <w:pPr>
        <w:tabs>
          <w:tab w:val="center" w:pos="4680"/>
          <w:tab w:val="right" w:pos="9360"/>
        </w:tabs>
        <w:spacing w:line="330" w:lineRule="auto"/>
        <w:jc w:val="center"/>
        <w:rPr>
          <w:b/>
          <w:sz w:val="22"/>
        </w:rPr>
      </w:pPr>
      <w:r w:rsidRPr="00F75E6C">
        <w:rPr>
          <w:b/>
          <w:sz w:val="22"/>
        </w:rPr>
        <w:t>NAESB Correction/Clarification Procedure</w:t>
      </w:r>
    </w:p>
    <w:p w14:paraId="581A33F3" w14:textId="77777777" w:rsidR="00F75E6C"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rPr>
      </w:pPr>
    </w:p>
    <w:tbl>
      <w:tblPr>
        <w:tblW w:w="0" w:type="auto"/>
        <w:tblInd w:w="4878" w:type="dxa"/>
        <w:tblLook w:val="01E0" w:firstRow="1" w:lastRow="1" w:firstColumn="1" w:lastColumn="1" w:noHBand="0" w:noVBand="0"/>
      </w:tblPr>
      <w:tblGrid>
        <w:gridCol w:w="1655"/>
        <w:gridCol w:w="2827"/>
      </w:tblGrid>
      <w:tr w:rsidR="000E151D" w14:paraId="6CC0A14A" w14:textId="77777777" w:rsidTr="00B94DAF">
        <w:tc>
          <w:tcPr>
            <w:tcW w:w="1710" w:type="dxa"/>
          </w:tcPr>
          <w:p w14:paraId="0047D7F9" w14:textId="77777777" w:rsidR="000E151D" w:rsidRPr="00B94DAF" w:rsidRDefault="000E151D" w:rsidP="00B94DAF">
            <w:pPr>
              <w:spacing w:before="40" w:after="20"/>
              <w:jc w:val="right"/>
              <w:rPr>
                <w:sz w:val="22"/>
                <w:szCs w:val="22"/>
              </w:rPr>
            </w:pPr>
            <w:r w:rsidRPr="00B94DAF">
              <w:rPr>
                <w:sz w:val="22"/>
                <w:szCs w:val="22"/>
              </w:rPr>
              <w:t>Date of Request:</w:t>
            </w:r>
          </w:p>
        </w:tc>
        <w:tc>
          <w:tcPr>
            <w:tcW w:w="2988" w:type="dxa"/>
          </w:tcPr>
          <w:p w14:paraId="5F35096D" w14:textId="77777777" w:rsidR="000E151D" w:rsidRDefault="00077D95" w:rsidP="0053534A">
            <w:pPr>
              <w:spacing w:before="40" w:after="20"/>
            </w:pPr>
            <w:r>
              <w:t xml:space="preserve">October </w:t>
            </w:r>
            <w:r w:rsidR="000C4477">
              <w:t>20</w:t>
            </w:r>
            <w:r>
              <w:t>, 2021</w:t>
            </w:r>
          </w:p>
          <w:p w14:paraId="10B78D9E" w14:textId="77777777" w:rsidR="00D3463D" w:rsidRDefault="00D3463D" w:rsidP="0053534A">
            <w:pPr>
              <w:spacing w:before="40" w:after="20"/>
            </w:pPr>
          </w:p>
        </w:tc>
      </w:tr>
    </w:tbl>
    <w:p w14:paraId="34F88B3F" w14:textId="77777777" w:rsidR="000E151D" w:rsidRDefault="000E151D"/>
    <w:p w14:paraId="3E02B100" w14:textId="77777777"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084D20EC" w14:textId="77777777" w:rsidR="00EA72B5" w:rsidRDefault="00EA72B5" w:rsidP="00222BAF">
      <w:pPr>
        <w:numPr>
          <w:ilvl w:val="0"/>
          <w:numId w:val="1"/>
        </w:numPr>
        <w:tabs>
          <w:tab w:val="clear" w:pos="720"/>
          <w:tab w:val="num" w:pos="27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270" w:hanging="270"/>
        <w:rPr>
          <w:sz w:val="22"/>
        </w:rPr>
      </w:pPr>
      <w:r w:rsidRPr="00F75E6C">
        <w:rPr>
          <w:sz w:val="22"/>
        </w:rPr>
        <w:t>Submitting Entity &amp; Address:</w:t>
      </w:r>
      <w:r w:rsidR="006A4C9C">
        <w:rPr>
          <w:sz w:val="22"/>
        </w:rPr>
        <w:t xml:space="preserve">  </w:t>
      </w:r>
      <w:r w:rsidR="00512DFA">
        <w:rPr>
          <w:sz w:val="22"/>
        </w:rPr>
        <w:t>Kinder Morgan Inc.</w:t>
      </w:r>
    </w:p>
    <w:p w14:paraId="11F4C1FF" w14:textId="77777777" w:rsidR="006A4C9C" w:rsidRDefault="006A4C9C" w:rsidP="006A4C9C">
      <w:pP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270"/>
        <w:rPr>
          <w:sz w:val="22"/>
        </w:rPr>
      </w:pPr>
      <w:r>
        <w:rPr>
          <w:sz w:val="22"/>
        </w:rPr>
        <w:tab/>
      </w:r>
      <w:r>
        <w:rPr>
          <w:sz w:val="22"/>
        </w:rPr>
        <w:tab/>
      </w:r>
      <w:r>
        <w:rPr>
          <w:sz w:val="22"/>
        </w:rPr>
        <w:tab/>
      </w:r>
      <w:r>
        <w:rPr>
          <w:sz w:val="22"/>
        </w:rPr>
        <w:tab/>
        <w:t xml:space="preserve">    1001 Louisiana Street, Suite 1000</w:t>
      </w:r>
      <w:r w:rsidR="001B4C77">
        <w:rPr>
          <w:sz w:val="22"/>
        </w:rPr>
        <w:t>, Office 1583</w:t>
      </w:r>
    </w:p>
    <w:tbl>
      <w:tblPr>
        <w:tblW w:w="0" w:type="auto"/>
        <w:tblInd w:w="828" w:type="dxa"/>
        <w:tblLook w:val="01E0" w:firstRow="1" w:lastRow="1" w:firstColumn="1" w:lastColumn="1" w:noHBand="0" w:noVBand="0"/>
      </w:tblPr>
      <w:tblGrid>
        <w:gridCol w:w="8532"/>
      </w:tblGrid>
      <w:tr w:rsidR="00222BAF" w:rsidRPr="00B94DAF" w14:paraId="58AF35C8" w14:textId="77777777" w:rsidTr="00B94DAF">
        <w:tc>
          <w:tcPr>
            <w:tcW w:w="8748" w:type="dxa"/>
          </w:tcPr>
          <w:p w14:paraId="75C31951" w14:textId="77777777" w:rsidR="00222BAF" w:rsidRPr="00B94DAF" w:rsidRDefault="006A4C9C" w:rsidP="00B94D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sidRPr="00B94DAF">
              <w:rPr>
                <w:sz w:val="22"/>
              </w:rPr>
              <w:t xml:space="preserve">                                          Houston, TX 77002</w:t>
            </w:r>
          </w:p>
        </w:tc>
      </w:tr>
      <w:tr w:rsidR="00222BAF" w:rsidRPr="00B94DAF" w14:paraId="5AE5084F" w14:textId="77777777" w:rsidTr="00B94DAF">
        <w:tc>
          <w:tcPr>
            <w:tcW w:w="8748" w:type="dxa"/>
          </w:tcPr>
          <w:p w14:paraId="54AF0F26" w14:textId="77777777" w:rsidR="00222BAF" w:rsidRPr="00B94DAF" w:rsidRDefault="00222BAF" w:rsidP="00B94D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p>
        </w:tc>
      </w:tr>
    </w:tbl>
    <w:p w14:paraId="1F7CA0EF" w14:textId="77777777" w:rsidR="00EA72B5" w:rsidRDefault="00EA72B5" w:rsidP="00222BAF">
      <w:pPr>
        <w:numPr>
          <w:ilvl w:val="0"/>
          <w:numId w:val="1"/>
        </w:numPr>
        <w:tabs>
          <w:tab w:val="clear" w:pos="720"/>
          <w:tab w:val="num" w:pos="27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270" w:hanging="270"/>
        <w:rPr>
          <w:sz w:val="22"/>
        </w:rPr>
      </w:pPr>
      <w:r w:rsidRPr="00F75E6C">
        <w:rPr>
          <w:sz w:val="22"/>
        </w:rPr>
        <w:t>Contact Person, Phone #, Fax #, Electronic Mailing Address:</w:t>
      </w:r>
    </w:p>
    <w:tbl>
      <w:tblPr>
        <w:tblW w:w="0" w:type="auto"/>
        <w:tblInd w:w="828" w:type="dxa"/>
        <w:tblLook w:val="01E0" w:firstRow="1" w:lastRow="1" w:firstColumn="1" w:lastColumn="1" w:noHBand="0" w:noVBand="0"/>
      </w:tblPr>
      <w:tblGrid>
        <w:gridCol w:w="897"/>
        <w:gridCol w:w="353"/>
        <w:gridCol w:w="7282"/>
      </w:tblGrid>
      <w:tr w:rsidR="00222BAF" w:rsidRPr="00B94DAF" w14:paraId="230A96B1" w14:textId="77777777" w:rsidTr="00B94DAF">
        <w:tc>
          <w:tcPr>
            <w:tcW w:w="900" w:type="dxa"/>
          </w:tcPr>
          <w:p w14:paraId="0B36A953" w14:textId="77777777" w:rsidR="00222BAF" w:rsidRPr="00B94DAF" w:rsidRDefault="00222BAF" w:rsidP="00B94D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sidRPr="00B94DAF">
              <w:rPr>
                <w:sz w:val="22"/>
              </w:rPr>
              <w:t>Name:</w:t>
            </w:r>
            <w:r w:rsidR="006A4C9C" w:rsidRPr="00B94DAF">
              <w:rPr>
                <w:sz w:val="22"/>
              </w:rPr>
              <w:t xml:space="preserve"> </w:t>
            </w:r>
          </w:p>
        </w:tc>
        <w:tc>
          <w:tcPr>
            <w:tcW w:w="360" w:type="dxa"/>
          </w:tcPr>
          <w:p w14:paraId="4B0A86FB" w14:textId="77777777" w:rsidR="00222BAF" w:rsidRPr="00B94DAF" w:rsidRDefault="00222BAF" w:rsidP="00B94D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p>
        </w:tc>
        <w:tc>
          <w:tcPr>
            <w:tcW w:w="7488" w:type="dxa"/>
          </w:tcPr>
          <w:p w14:paraId="6DE91D01" w14:textId="77777777" w:rsidR="00222BAF" w:rsidRPr="00B94DAF" w:rsidRDefault="006A4C9C" w:rsidP="00B94D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sidRPr="00B94DAF">
              <w:rPr>
                <w:sz w:val="22"/>
              </w:rPr>
              <w:t xml:space="preserve">Mark </w:t>
            </w:r>
            <w:r w:rsidR="00BF25E6" w:rsidRPr="00B94DAF">
              <w:rPr>
                <w:sz w:val="22"/>
              </w:rPr>
              <w:t>Gracey</w:t>
            </w:r>
          </w:p>
        </w:tc>
      </w:tr>
      <w:tr w:rsidR="00222BAF" w:rsidRPr="00B94DAF" w14:paraId="4605FCC6" w14:textId="77777777" w:rsidTr="00B94DAF">
        <w:tc>
          <w:tcPr>
            <w:tcW w:w="900" w:type="dxa"/>
          </w:tcPr>
          <w:p w14:paraId="6843CA5B" w14:textId="77777777" w:rsidR="00222BAF" w:rsidRPr="00B94DAF" w:rsidRDefault="00222BAF" w:rsidP="00B94D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sidRPr="00B94DAF">
              <w:rPr>
                <w:sz w:val="22"/>
              </w:rPr>
              <w:t>Title:</w:t>
            </w:r>
          </w:p>
        </w:tc>
        <w:tc>
          <w:tcPr>
            <w:tcW w:w="360" w:type="dxa"/>
          </w:tcPr>
          <w:p w14:paraId="0BB6FEE5" w14:textId="77777777" w:rsidR="00222BAF" w:rsidRPr="00B94DAF" w:rsidRDefault="00222BAF" w:rsidP="00B94D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p>
        </w:tc>
        <w:tc>
          <w:tcPr>
            <w:tcW w:w="7488" w:type="dxa"/>
          </w:tcPr>
          <w:p w14:paraId="065D5802" w14:textId="77777777" w:rsidR="00222BAF" w:rsidRPr="00B94DAF" w:rsidRDefault="00B55D05" w:rsidP="00B55D05">
            <w:pPr>
              <w:rPr>
                <w:color w:val="000000"/>
                <w:sz w:val="21"/>
                <w:szCs w:val="21"/>
              </w:rPr>
            </w:pPr>
            <w:r w:rsidRPr="00B94DAF">
              <w:rPr>
                <w:color w:val="000000"/>
                <w:sz w:val="21"/>
                <w:szCs w:val="21"/>
              </w:rPr>
              <w:t>Director, Business Processes – System Compliance</w:t>
            </w:r>
          </w:p>
        </w:tc>
      </w:tr>
      <w:tr w:rsidR="00222BAF" w:rsidRPr="00B94DAF" w14:paraId="46E9EE67" w14:textId="77777777" w:rsidTr="00B94DAF">
        <w:tc>
          <w:tcPr>
            <w:tcW w:w="900" w:type="dxa"/>
          </w:tcPr>
          <w:p w14:paraId="6EBF0CAC" w14:textId="77777777" w:rsidR="00222BAF" w:rsidRPr="00B94DAF" w:rsidRDefault="00222BAF" w:rsidP="00B94D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sidRPr="00B94DAF">
              <w:rPr>
                <w:sz w:val="22"/>
              </w:rPr>
              <w:t>Phone:</w:t>
            </w:r>
          </w:p>
        </w:tc>
        <w:tc>
          <w:tcPr>
            <w:tcW w:w="360" w:type="dxa"/>
          </w:tcPr>
          <w:p w14:paraId="32560D09" w14:textId="77777777" w:rsidR="00222BAF" w:rsidRPr="00B94DAF" w:rsidRDefault="00222BAF" w:rsidP="00B94D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p>
        </w:tc>
        <w:tc>
          <w:tcPr>
            <w:tcW w:w="7488" w:type="dxa"/>
          </w:tcPr>
          <w:p w14:paraId="2A3ED123" w14:textId="77777777" w:rsidR="00222BAF" w:rsidRPr="00B94DAF" w:rsidRDefault="00BF25E6" w:rsidP="00B94D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sidRPr="00B94DAF">
              <w:rPr>
                <w:sz w:val="22"/>
              </w:rPr>
              <w:t>713-420-3688</w:t>
            </w:r>
          </w:p>
        </w:tc>
      </w:tr>
      <w:tr w:rsidR="00222BAF" w:rsidRPr="00B94DAF" w14:paraId="763B049B" w14:textId="77777777" w:rsidTr="00B94DAF">
        <w:tc>
          <w:tcPr>
            <w:tcW w:w="900" w:type="dxa"/>
          </w:tcPr>
          <w:p w14:paraId="176BB239" w14:textId="77777777" w:rsidR="00222BAF" w:rsidRPr="00B94DAF" w:rsidRDefault="00222BAF" w:rsidP="00B94D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sidRPr="00B94DAF">
              <w:rPr>
                <w:sz w:val="22"/>
              </w:rPr>
              <w:t>Fax:</w:t>
            </w:r>
          </w:p>
        </w:tc>
        <w:tc>
          <w:tcPr>
            <w:tcW w:w="360" w:type="dxa"/>
          </w:tcPr>
          <w:p w14:paraId="19A0EF27" w14:textId="77777777" w:rsidR="00222BAF" w:rsidRPr="00B94DAF" w:rsidRDefault="00222BAF" w:rsidP="00B94D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p>
        </w:tc>
        <w:tc>
          <w:tcPr>
            <w:tcW w:w="7488" w:type="dxa"/>
          </w:tcPr>
          <w:p w14:paraId="4E0378B8" w14:textId="77777777" w:rsidR="00222BAF" w:rsidRPr="00B94DAF" w:rsidRDefault="00222BAF" w:rsidP="00B94D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p>
        </w:tc>
      </w:tr>
      <w:tr w:rsidR="00222BAF" w:rsidRPr="00B94DAF" w14:paraId="226B1D18" w14:textId="77777777" w:rsidTr="00B94DAF">
        <w:tc>
          <w:tcPr>
            <w:tcW w:w="900" w:type="dxa"/>
          </w:tcPr>
          <w:p w14:paraId="512C9F60" w14:textId="77777777" w:rsidR="00222BAF" w:rsidRPr="00B94DAF" w:rsidRDefault="00222BAF" w:rsidP="00B94D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sidRPr="00B94DAF">
              <w:rPr>
                <w:sz w:val="22"/>
              </w:rPr>
              <w:t>E-mail:</w:t>
            </w:r>
          </w:p>
        </w:tc>
        <w:tc>
          <w:tcPr>
            <w:tcW w:w="360" w:type="dxa"/>
          </w:tcPr>
          <w:p w14:paraId="37EB0376" w14:textId="77777777" w:rsidR="00222BAF" w:rsidRPr="00B94DAF" w:rsidRDefault="00222BAF" w:rsidP="00B94D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p>
        </w:tc>
        <w:tc>
          <w:tcPr>
            <w:tcW w:w="7488" w:type="dxa"/>
          </w:tcPr>
          <w:p w14:paraId="4DF09AAF" w14:textId="77777777" w:rsidR="00222BAF" w:rsidRPr="00B94DAF" w:rsidRDefault="00941C44" w:rsidP="00DE60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hyperlink r:id="rId7" w:history="1">
              <w:r w:rsidR="0088458E" w:rsidRPr="004E631A">
                <w:rPr>
                  <w:rStyle w:val="Hyperlink"/>
                  <w:sz w:val="22"/>
                </w:rPr>
                <w:t>Mark_Gracey@kindermorgan.com</w:t>
              </w:r>
            </w:hyperlink>
          </w:p>
        </w:tc>
      </w:tr>
    </w:tbl>
    <w:p w14:paraId="0247DC51" w14:textId="77777777" w:rsidR="001B5AC5" w:rsidRDefault="005B1939" w:rsidP="001B5AC5">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sz w:val="22"/>
        </w:rPr>
      </w:pPr>
      <w:r w:rsidRPr="001B5AC5">
        <w:rPr>
          <w:sz w:val="22"/>
        </w:rPr>
        <w:t xml:space="preserve">Version and Standard Number(s) suggested for correction or clarification: </w:t>
      </w:r>
      <w:r w:rsidR="00B55D05" w:rsidRPr="001B5AC5">
        <w:rPr>
          <w:sz w:val="22"/>
        </w:rPr>
        <w:t xml:space="preserve"> </w:t>
      </w:r>
    </w:p>
    <w:p w14:paraId="19DBC48D" w14:textId="77777777" w:rsidR="00A36DB0" w:rsidRDefault="00A36DB0" w:rsidP="00A36D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360"/>
        <w:rPr>
          <w:b/>
          <w:sz w:val="22"/>
        </w:rPr>
      </w:pPr>
      <w:r w:rsidRPr="00A36DB0">
        <w:rPr>
          <w:b/>
          <w:sz w:val="22"/>
        </w:rPr>
        <w:t>NAESB WGQ Version 3.</w:t>
      </w:r>
      <w:r w:rsidR="00151239">
        <w:rPr>
          <w:b/>
          <w:sz w:val="22"/>
        </w:rPr>
        <w:t>3</w:t>
      </w:r>
    </w:p>
    <w:p w14:paraId="1F1026C0" w14:textId="77777777" w:rsidR="00784538" w:rsidRDefault="00784538" w:rsidP="00A36D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360"/>
        <w:rPr>
          <w:b/>
          <w:sz w:val="22"/>
        </w:rPr>
      </w:pPr>
    </w:p>
    <w:p w14:paraId="49AB4FD8" w14:textId="77777777" w:rsidR="00784538" w:rsidRPr="00061F7B" w:rsidRDefault="00784538" w:rsidP="00784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980" w:hanging="540"/>
        <w:rPr>
          <w:rFonts w:ascii="Arial" w:hAnsi="Arial" w:cs="Arial"/>
        </w:rPr>
      </w:pPr>
      <w:r w:rsidRPr="00061F7B">
        <w:rPr>
          <w:rFonts w:ascii="Arial" w:hAnsi="Arial" w:cs="Arial"/>
          <w:bCs/>
        </w:rPr>
        <w:t xml:space="preserve">Transactional Reporting </w:t>
      </w:r>
      <w:r>
        <w:rPr>
          <w:rFonts w:ascii="Arial" w:hAnsi="Arial" w:cs="Arial"/>
          <w:bCs/>
        </w:rPr>
        <w:t>– Capacity Release</w:t>
      </w:r>
      <w:r w:rsidRPr="00061F7B">
        <w:rPr>
          <w:rFonts w:ascii="Arial" w:hAnsi="Arial" w:cs="Arial"/>
          <w:bCs/>
        </w:rPr>
        <w:t xml:space="preserve"> </w:t>
      </w:r>
      <w:r w:rsidRPr="00061F7B">
        <w:rPr>
          <w:rFonts w:ascii="Arial" w:hAnsi="Arial" w:cs="Arial"/>
          <w:bCs/>
        </w:rPr>
        <w:tab/>
      </w:r>
      <w:r>
        <w:rPr>
          <w:rFonts w:ascii="Arial" w:hAnsi="Arial" w:cs="Arial"/>
          <w:bCs/>
        </w:rPr>
        <w:t>NAESB WGQ Standard No. 5.4.20</w:t>
      </w:r>
    </w:p>
    <w:p w14:paraId="4C22DEDF" w14:textId="77777777" w:rsidR="00784538" w:rsidRPr="004D57D2" w:rsidRDefault="00784538" w:rsidP="00784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980" w:hanging="540"/>
        <w:rPr>
          <w:rFonts w:ascii="Arial" w:hAnsi="Arial" w:cs="Arial"/>
          <w:bCs/>
        </w:rPr>
      </w:pPr>
      <w:r w:rsidRPr="004D57D2">
        <w:rPr>
          <w:rFonts w:ascii="Arial" w:hAnsi="Arial" w:cs="Arial"/>
          <w:bCs/>
        </w:rPr>
        <w:t xml:space="preserve">Transactional Reporting </w:t>
      </w:r>
      <w:r>
        <w:rPr>
          <w:rFonts w:ascii="Arial" w:hAnsi="Arial" w:cs="Arial"/>
          <w:bCs/>
        </w:rPr>
        <w:t xml:space="preserve">– </w:t>
      </w:r>
      <w:r w:rsidRPr="004D57D2">
        <w:rPr>
          <w:rFonts w:ascii="Arial" w:hAnsi="Arial" w:cs="Arial"/>
          <w:bCs/>
        </w:rPr>
        <w:t xml:space="preserve">Firm Transportation </w:t>
      </w:r>
      <w:r w:rsidRPr="004D57D2">
        <w:rPr>
          <w:rFonts w:ascii="Arial" w:hAnsi="Arial" w:cs="Arial"/>
          <w:bCs/>
        </w:rPr>
        <w:tab/>
        <w:t>NAESB WGQ Standard No. 5.4.21</w:t>
      </w:r>
    </w:p>
    <w:p w14:paraId="70CCDCD6" w14:textId="77777777" w:rsidR="00784538" w:rsidRPr="00061F7B" w:rsidRDefault="00784538" w:rsidP="00784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980" w:hanging="540"/>
        <w:rPr>
          <w:rFonts w:ascii="Arial" w:hAnsi="Arial" w:cs="Arial"/>
          <w:bCs/>
        </w:rPr>
      </w:pPr>
      <w:r w:rsidRPr="00061F7B">
        <w:rPr>
          <w:rFonts w:ascii="Arial" w:hAnsi="Arial" w:cs="Arial"/>
          <w:bCs/>
        </w:rPr>
        <w:t xml:space="preserve">Offer </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t>NAESB WGQ Standard No. 5.4.24</w:t>
      </w:r>
    </w:p>
    <w:p w14:paraId="7E40F70C" w14:textId="77777777" w:rsidR="00784538" w:rsidRDefault="00784538" w:rsidP="00784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980" w:hanging="540"/>
        <w:rPr>
          <w:rFonts w:ascii="Arial" w:hAnsi="Arial" w:cs="Arial"/>
          <w:bCs/>
        </w:rPr>
      </w:pPr>
      <w:r w:rsidRPr="00061F7B">
        <w:rPr>
          <w:rFonts w:ascii="Arial" w:hAnsi="Arial" w:cs="Arial"/>
          <w:bCs/>
        </w:rPr>
        <w:t xml:space="preserve">Bid </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t>NAESB WGQ Standard No. 5.4.25</w:t>
      </w:r>
    </w:p>
    <w:p w14:paraId="1D528A90" w14:textId="77777777" w:rsidR="00784538" w:rsidRDefault="00784538" w:rsidP="00784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980" w:hanging="540"/>
        <w:rPr>
          <w:rFonts w:ascii="Arial" w:hAnsi="Arial" w:cs="Arial"/>
          <w:bCs/>
        </w:rPr>
      </w:pPr>
      <w:r w:rsidRPr="00061F7B">
        <w:rPr>
          <w:rFonts w:ascii="Arial" w:hAnsi="Arial" w:cs="Arial"/>
          <w:bCs/>
        </w:rPr>
        <w:t xml:space="preserve">Award Download </w:t>
      </w:r>
      <w:r>
        <w:rPr>
          <w:rFonts w:ascii="Arial" w:hAnsi="Arial" w:cs="Arial"/>
          <w:bCs/>
        </w:rPr>
        <w:tab/>
      </w:r>
      <w:r>
        <w:rPr>
          <w:rFonts w:ascii="Arial" w:hAnsi="Arial" w:cs="Arial"/>
          <w:bCs/>
        </w:rPr>
        <w:tab/>
      </w:r>
      <w:r>
        <w:rPr>
          <w:rFonts w:ascii="Arial" w:hAnsi="Arial" w:cs="Arial"/>
          <w:bCs/>
        </w:rPr>
        <w:tab/>
      </w:r>
      <w:r>
        <w:rPr>
          <w:rFonts w:ascii="Arial" w:hAnsi="Arial" w:cs="Arial"/>
          <w:bCs/>
        </w:rPr>
        <w:tab/>
      </w:r>
      <w:r w:rsidRPr="00061F7B">
        <w:rPr>
          <w:rFonts w:ascii="Arial" w:hAnsi="Arial" w:cs="Arial"/>
          <w:bCs/>
        </w:rPr>
        <w:t>NAE</w:t>
      </w:r>
      <w:r>
        <w:rPr>
          <w:rFonts w:ascii="Arial" w:hAnsi="Arial" w:cs="Arial"/>
          <w:bCs/>
        </w:rPr>
        <w:t>SB WGQ Standard No. 5.4.26</w:t>
      </w:r>
    </w:p>
    <w:p w14:paraId="029A6BE4" w14:textId="77777777" w:rsidR="00784538" w:rsidRPr="00A36DB0" w:rsidRDefault="00784538" w:rsidP="00A36D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360"/>
        <w:rPr>
          <w:b/>
          <w:sz w:val="22"/>
        </w:rPr>
      </w:pPr>
    </w:p>
    <w:p w14:paraId="7929B86E" w14:textId="77777777" w:rsidR="00E16E3A" w:rsidRPr="00E16E3A" w:rsidRDefault="00E16E3A" w:rsidP="00E16E3A">
      <w:pPr>
        <w:pStyle w:val="ListParagraph"/>
        <w:numPr>
          <w:ilvl w:val="0"/>
          <w:numId w:val="1"/>
        </w:numPr>
        <w:spacing w:before="120" w:after="120"/>
        <w:rPr>
          <w:sz w:val="22"/>
          <w:szCs w:val="22"/>
        </w:rPr>
      </w:pPr>
      <w:r w:rsidRPr="00E16E3A">
        <w:rPr>
          <w:sz w:val="22"/>
          <w:szCs w:val="22"/>
        </w:rPr>
        <w:t xml:space="preserve">Description of Minor Correction/Clarification including redlined standards corrections:  </w:t>
      </w:r>
    </w:p>
    <w:p w14:paraId="5095536A" w14:textId="77777777" w:rsidR="00E16E3A" w:rsidRDefault="00E16E3A" w:rsidP="00E16E3A">
      <w:pPr>
        <w:pStyle w:val="ListParagraph"/>
        <w:spacing w:before="120" w:after="120"/>
        <w:rPr>
          <w:sz w:val="22"/>
          <w:szCs w:val="22"/>
        </w:rPr>
      </w:pPr>
      <w:r>
        <w:rPr>
          <w:sz w:val="22"/>
          <w:szCs w:val="22"/>
        </w:rPr>
        <w:t>For the data set</w:t>
      </w:r>
      <w:r w:rsidR="00077D95">
        <w:rPr>
          <w:sz w:val="22"/>
          <w:szCs w:val="22"/>
        </w:rPr>
        <w:t>s</w:t>
      </w:r>
      <w:r>
        <w:rPr>
          <w:sz w:val="22"/>
          <w:szCs w:val="22"/>
        </w:rPr>
        <w:t xml:space="preserve"> above, add Code Value </w:t>
      </w:r>
      <w:r w:rsidR="008C64B1">
        <w:rPr>
          <w:sz w:val="22"/>
          <w:szCs w:val="22"/>
        </w:rPr>
        <w:t>for da</w:t>
      </w:r>
      <w:r w:rsidR="00784538">
        <w:rPr>
          <w:sz w:val="22"/>
          <w:szCs w:val="22"/>
        </w:rPr>
        <w:t>ta</w:t>
      </w:r>
      <w:r w:rsidR="008C64B1">
        <w:rPr>
          <w:sz w:val="22"/>
          <w:szCs w:val="22"/>
        </w:rPr>
        <w:t xml:space="preserve"> element Rate Identification Code</w:t>
      </w:r>
      <w:r w:rsidR="00077D95">
        <w:rPr>
          <w:sz w:val="22"/>
          <w:szCs w:val="22"/>
        </w:rPr>
        <w:t xml:space="preserve"> to describe the rate charged for a lateral. </w:t>
      </w:r>
      <w:r>
        <w:rPr>
          <w:sz w:val="22"/>
          <w:szCs w:val="22"/>
        </w:rPr>
        <w:t xml:space="preserve"> </w:t>
      </w:r>
    </w:p>
    <w:p w14:paraId="0BADF93B" w14:textId="77777777" w:rsidR="00784538" w:rsidRDefault="00784538" w:rsidP="00E16E3A">
      <w:pPr>
        <w:pStyle w:val="ListParagraph"/>
        <w:spacing w:before="120" w:after="120"/>
        <w:rPr>
          <w:sz w:val="22"/>
          <w:szCs w:val="22"/>
        </w:rPr>
      </w:pPr>
    </w:p>
    <w:p w14:paraId="2C3EF93E" w14:textId="77777777" w:rsidR="00784538" w:rsidRDefault="00784538" w:rsidP="00E16E3A">
      <w:pPr>
        <w:pStyle w:val="ListParagraph"/>
        <w:spacing w:before="120" w:after="120"/>
        <w:rPr>
          <w:sz w:val="22"/>
          <w:szCs w:val="22"/>
        </w:rPr>
      </w:pPr>
      <w:r w:rsidRPr="00BC7233">
        <w:rPr>
          <w:rFonts w:ascii="Arial" w:hAnsi="Arial" w:cs="Arial"/>
          <w:b/>
        </w:rPr>
        <w:t>Data Element</w:t>
      </w:r>
      <w:r>
        <w:rPr>
          <w:rFonts w:ascii="Arial" w:hAnsi="Arial" w:cs="Arial"/>
        </w:rPr>
        <w:t>:</w:t>
      </w:r>
      <w:r>
        <w:rPr>
          <w:rFonts w:ascii="Arial" w:hAnsi="Arial" w:cs="Arial"/>
        </w:rPr>
        <w:tab/>
        <w:t>Rate Identification Code</w:t>
      </w:r>
    </w:p>
    <w:tbl>
      <w:tblPr>
        <w:tblW w:w="7680" w:type="dxa"/>
        <w:tblInd w:w="-5" w:type="dxa"/>
        <w:tblCellMar>
          <w:left w:w="0" w:type="dxa"/>
          <w:right w:w="0" w:type="dxa"/>
        </w:tblCellMar>
        <w:tblLook w:val="04A0" w:firstRow="1" w:lastRow="0" w:firstColumn="1" w:lastColumn="0" w:noHBand="0" w:noVBand="1"/>
      </w:tblPr>
      <w:tblGrid>
        <w:gridCol w:w="2640"/>
        <w:gridCol w:w="3140"/>
        <w:gridCol w:w="1900"/>
      </w:tblGrid>
      <w:tr w:rsidR="00E16E3A" w14:paraId="146F1B15" w14:textId="77777777" w:rsidTr="00E16E3A">
        <w:trPr>
          <w:trHeight w:val="300"/>
        </w:trPr>
        <w:tc>
          <w:tcPr>
            <w:tcW w:w="264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6EC8AD5" w14:textId="77777777" w:rsidR="00E16E3A" w:rsidRDefault="00E16E3A">
            <w:pPr>
              <w:rPr>
                <w:b/>
                <w:bCs/>
                <w:color w:val="000000"/>
                <w:sz w:val="22"/>
                <w:szCs w:val="22"/>
              </w:rPr>
            </w:pPr>
            <w:r>
              <w:rPr>
                <w:b/>
                <w:bCs/>
                <w:color w:val="000000"/>
              </w:rPr>
              <w:t>Code Value Description</w:t>
            </w:r>
          </w:p>
        </w:tc>
        <w:tc>
          <w:tcPr>
            <w:tcW w:w="314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3B96AF8C" w14:textId="77777777" w:rsidR="00E16E3A" w:rsidRDefault="00E16E3A">
            <w:pPr>
              <w:rPr>
                <w:b/>
                <w:bCs/>
                <w:color w:val="000000"/>
              </w:rPr>
            </w:pPr>
            <w:r>
              <w:rPr>
                <w:b/>
                <w:bCs/>
                <w:color w:val="000000"/>
              </w:rPr>
              <w:t>Code Value Definition</w:t>
            </w:r>
          </w:p>
        </w:tc>
        <w:tc>
          <w:tcPr>
            <w:tcW w:w="190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1ED9611B" w14:textId="77777777" w:rsidR="00E16E3A" w:rsidRDefault="00E16E3A">
            <w:pPr>
              <w:rPr>
                <w:b/>
                <w:bCs/>
                <w:color w:val="000000"/>
              </w:rPr>
            </w:pPr>
            <w:r>
              <w:rPr>
                <w:b/>
                <w:bCs/>
                <w:color w:val="000000"/>
              </w:rPr>
              <w:t xml:space="preserve">Code Value </w:t>
            </w:r>
          </w:p>
        </w:tc>
      </w:tr>
      <w:tr w:rsidR="00E16E3A" w14:paraId="082C8B23" w14:textId="77777777" w:rsidTr="00E16E3A">
        <w:trPr>
          <w:trHeight w:val="600"/>
        </w:trPr>
        <w:tc>
          <w:tcPr>
            <w:tcW w:w="26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056EB90B" w14:textId="77777777" w:rsidR="00E16E3A" w:rsidRDefault="00077D95">
            <w:pPr>
              <w:rPr>
                <w:color w:val="000000"/>
              </w:rPr>
            </w:pPr>
            <w:r>
              <w:rPr>
                <w:color w:val="000000"/>
              </w:rPr>
              <w:t>Lateral Reservation</w:t>
            </w:r>
          </w:p>
          <w:p w14:paraId="03BD8842" w14:textId="77777777" w:rsidR="00077D95" w:rsidRDefault="00077D95">
            <w:pPr>
              <w:rPr>
                <w:color w:val="000000"/>
              </w:rPr>
            </w:pPr>
            <w:r>
              <w:rPr>
                <w:color w:val="000000"/>
              </w:rPr>
              <w:t>(Lat Res)</w:t>
            </w:r>
          </w:p>
        </w:tc>
        <w:tc>
          <w:tcPr>
            <w:tcW w:w="314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920F45E" w14:textId="77777777" w:rsidR="00E16E3A" w:rsidRDefault="00363280" w:rsidP="00E31B9E">
            <w:pPr>
              <w:autoSpaceDE w:val="0"/>
              <w:autoSpaceDN w:val="0"/>
              <w:adjustRightInd w:val="0"/>
              <w:rPr>
                <w:color w:val="000000"/>
              </w:rPr>
            </w:pPr>
            <w:r>
              <w:rPr>
                <w:rFonts w:ascii="Arial" w:hAnsi="Arial" w:cs="Arial"/>
                <w:sz w:val="18"/>
                <w:szCs w:val="18"/>
              </w:rPr>
              <w:t>A</w:t>
            </w:r>
            <w:r w:rsidR="00514975">
              <w:rPr>
                <w:rFonts w:ascii="Arial" w:hAnsi="Arial" w:cs="Arial"/>
                <w:sz w:val="18"/>
                <w:szCs w:val="18"/>
              </w:rPr>
              <w:t xml:space="preserve"> monthly</w:t>
            </w:r>
            <w:r>
              <w:rPr>
                <w:rFonts w:ascii="Arial" w:hAnsi="Arial" w:cs="Arial"/>
                <w:sz w:val="18"/>
                <w:szCs w:val="18"/>
              </w:rPr>
              <w:t xml:space="preserve"> reservation charge assessed on quantity on the lateral.</w:t>
            </w:r>
          </w:p>
        </w:tc>
        <w:tc>
          <w:tcPr>
            <w:tcW w:w="19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04B69F4" w14:textId="77777777" w:rsidR="00E16E3A" w:rsidRDefault="00077D95">
            <w:pPr>
              <w:jc w:val="right"/>
              <w:rPr>
                <w:color w:val="000000"/>
              </w:rPr>
            </w:pPr>
            <w:r>
              <w:rPr>
                <w:color w:val="000000"/>
              </w:rPr>
              <w:t>146</w:t>
            </w:r>
          </w:p>
        </w:tc>
      </w:tr>
    </w:tbl>
    <w:p w14:paraId="2FE27ADC" w14:textId="77777777" w:rsidR="00E16E3A" w:rsidRDefault="00E16E3A" w:rsidP="00E16E3A">
      <w:pPr>
        <w:autoSpaceDE w:val="0"/>
        <w:autoSpaceDN w:val="0"/>
        <w:ind w:left="1080"/>
        <w:rPr>
          <w:rFonts w:ascii="Calibri" w:eastAsiaTheme="minorHAnsi" w:hAnsi="Calibri" w:cs="Calibri"/>
          <w:b/>
          <w:bCs/>
          <w:sz w:val="22"/>
          <w:szCs w:val="22"/>
        </w:rPr>
      </w:pPr>
    </w:p>
    <w:p w14:paraId="1E9005CB" w14:textId="77777777" w:rsidR="00E16E3A" w:rsidRDefault="00E16E3A">
      <w:pPr>
        <w:rPr>
          <w:b/>
          <w:bCs/>
        </w:rPr>
      </w:pPr>
      <w:r>
        <w:rPr>
          <w:b/>
          <w:bCs/>
        </w:rPr>
        <w:br w:type="page"/>
      </w:r>
    </w:p>
    <w:p w14:paraId="163AF53F" w14:textId="77777777" w:rsidR="00E16E3A" w:rsidRPr="008C64B1" w:rsidRDefault="00E16E3A" w:rsidP="00E16E3A">
      <w:pPr>
        <w:autoSpaceDE w:val="0"/>
        <w:autoSpaceDN w:val="0"/>
        <w:rPr>
          <w:rFonts w:asciiTheme="majorHAnsi" w:hAnsiTheme="majorHAnsi"/>
          <w:color w:val="000000" w:themeColor="text1"/>
          <w:sz w:val="22"/>
          <w:szCs w:val="22"/>
        </w:rPr>
      </w:pPr>
      <w:r w:rsidRPr="008C64B1">
        <w:rPr>
          <w:rFonts w:asciiTheme="majorHAnsi" w:hAnsiTheme="majorHAnsi"/>
          <w:b/>
          <w:bCs/>
          <w:color w:val="000000" w:themeColor="text1"/>
          <w:sz w:val="22"/>
          <w:szCs w:val="22"/>
        </w:rPr>
        <w:lastRenderedPageBreak/>
        <w:t>Reason for of Minor Correction/Clarification</w:t>
      </w:r>
      <w:r w:rsidRPr="008C64B1">
        <w:rPr>
          <w:rFonts w:asciiTheme="majorHAnsi" w:hAnsiTheme="majorHAnsi"/>
          <w:color w:val="000000" w:themeColor="text1"/>
          <w:sz w:val="22"/>
          <w:szCs w:val="22"/>
        </w:rPr>
        <w:t xml:space="preserve">:  </w:t>
      </w:r>
    </w:p>
    <w:p w14:paraId="6EDF23B6" w14:textId="77777777" w:rsidR="00E16E3A" w:rsidRPr="008C64B1" w:rsidRDefault="0021270E" w:rsidP="00E16E3A">
      <w:pPr>
        <w:rPr>
          <w:rFonts w:asciiTheme="majorHAnsi" w:hAnsiTheme="majorHAnsi"/>
          <w:color w:val="000000" w:themeColor="text1"/>
          <w:sz w:val="22"/>
          <w:szCs w:val="22"/>
        </w:rPr>
      </w:pPr>
      <w:r w:rsidRPr="008C64B1">
        <w:rPr>
          <w:rFonts w:asciiTheme="majorHAnsi" w:hAnsiTheme="majorHAnsi"/>
          <w:color w:val="000000" w:themeColor="text1"/>
          <w:sz w:val="22"/>
          <w:szCs w:val="22"/>
        </w:rPr>
        <w:t xml:space="preserve">Stagecoach Pipeline and Storage Company charges </w:t>
      </w:r>
      <w:r w:rsidR="008C64B1">
        <w:rPr>
          <w:rFonts w:asciiTheme="majorHAnsi" w:hAnsiTheme="majorHAnsi"/>
          <w:color w:val="000000" w:themeColor="text1"/>
          <w:sz w:val="22"/>
          <w:szCs w:val="22"/>
        </w:rPr>
        <w:t xml:space="preserve">a reservation rate for </w:t>
      </w:r>
      <w:r w:rsidRPr="008C64B1">
        <w:rPr>
          <w:rFonts w:asciiTheme="majorHAnsi" w:hAnsiTheme="majorHAnsi"/>
          <w:color w:val="000000" w:themeColor="text1"/>
          <w:sz w:val="22"/>
          <w:szCs w:val="22"/>
        </w:rPr>
        <w:t xml:space="preserve">quantity on their laterals. The new Rate ID will clearly identify the rate for both customer activities and EDI. </w:t>
      </w:r>
    </w:p>
    <w:p w14:paraId="0169F54E" w14:textId="77777777" w:rsidR="008C64B1" w:rsidRPr="008C64B1" w:rsidRDefault="008C64B1" w:rsidP="00E16E3A">
      <w:pPr>
        <w:rPr>
          <w:rFonts w:asciiTheme="majorHAnsi" w:hAnsiTheme="majorHAnsi"/>
          <w:b/>
          <w:color w:val="000000" w:themeColor="text1"/>
          <w:sz w:val="22"/>
          <w:szCs w:val="22"/>
        </w:rPr>
      </w:pPr>
    </w:p>
    <w:p w14:paraId="58F4724C" w14:textId="77777777" w:rsidR="008C64B1" w:rsidRPr="008C64B1" w:rsidRDefault="008C64B1" w:rsidP="00E16E3A">
      <w:pPr>
        <w:rPr>
          <w:rFonts w:asciiTheme="majorHAnsi" w:hAnsiTheme="majorHAnsi"/>
          <w:b/>
          <w:color w:val="000000" w:themeColor="text1"/>
          <w:sz w:val="22"/>
          <w:szCs w:val="22"/>
        </w:rPr>
      </w:pPr>
      <w:r w:rsidRPr="008C64B1">
        <w:rPr>
          <w:rFonts w:asciiTheme="majorHAnsi" w:hAnsiTheme="majorHAnsi"/>
          <w:b/>
          <w:color w:val="000000" w:themeColor="text1"/>
          <w:sz w:val="22"/>
          <w:szCs w:val="22"/>
        </w:rPr>
        <w:t xml:space="preserve">Stagecoach Tariff – </w:t>
      </w:r>
    </w:p>
    <w:p w14:paraId="34D1B9F5" w14:textId="77777777" w:rsidR="008C64B1" w:rsidRPr="008C64B1" w:rsidRDefault="008C64B1" w:rsidP="00E16E3A">
      <w:pPr>
        <w:rPr>
          <w:rFonts w:asciiTheme="majorHAnsi" w:hAnsiTheme="majorHAnsi"/>
          <w:b/>
          <w:color w:val="000000" w:themeColor="text1"/>
          <w:sz w:val="22"/>
          <w:szCs w:val="22"/>
        </w:rPr>
      </w:pPr>
      <w:r w:rsidRPr="008C64B1">
        <w:rPr>
          <w:rFonts w:asciiTheme="majorHAnsi" w:hAnsiTheme="majorHAnsi"/>
          <w:b/>
          <w:color w:val="000000" w:themeColor="text1"/>
          <w:sz w:val="22"/>
          <w:szCs w:val="22"/>
        </w:rPr>
        <w:t>Preliminary Statement</w:t>
      </w:r>
    </w:p>
    <w:p w14:paraId="6CD7C3F8" w14:textId="77777777" w:rsidR="008C64B1" w:rsidRPr="008C64B1" w:rsidRDefault="008C64B1" w:rsidP="00E16E3A">
      <w:pPr>
        <w:rPr>
          <w:rFonts w:asciiTheme="majorHAnsi" w:hAnsiTheme="majorHAnsi"/>
          <w:color w:val="000000" w:themeColor="text1"/>
          <w:sz w:val="22"/>
          <w:szCs w:val="22"/>
        </w:rPr>
      </w:pPr>
    </w:p>
    <w:p w14:paraId="2C85E460" w14:textId="77777777" w:rsidR="008C64B1" w:rsidRPr="008C64B1" w:rsidRDefault="008C64B1" w:rsidP="00E16E3A">
      <w:pPr>
        <w:rPr>
          <w:rFonts w:asciiTheme="majorHAnsi" w:hAnsiTheme="majorHAnsi"/>
          <w:color w:val="000000" w:themeColor="text1"/>
          <w:sz w:val="22"/>
          <w:szCs w:val="22"/>
        </w:rPr>
      </w:pPr>
      <w:r w:rsidRPr="008C64B1">
        <w:rPr>
          <w:rFonts w:asciiTheme="majorHAnsi" w:hAnsiTheme="majorHAnsi"/>
          <w:color w:val="000000" w:themeColor="text1"/>
          <w:sz w:val="22"/>
          <w:szCs w:val="22"/>
        </w:rPr>
        <w:t>The Stagecoach Storage Project also includes the North and South Laterals, which Stagecoach uses to provide bundled storage, transportation and wheeling services. The North Lateral begins at the Stagecoach Storage facility and extends north to an interconnection with Millennium Pipeline Company, L.L.C. The South Lateral begins at the Stagecoach Storage facility and extends south to an interconnection with Tennessee Gas Pipeline Company, L.L.C. In addition to the Stagecoach Storage Project, Stagecoach owns and operates the MARC I Facilities which extend from the southern terminus of Stagecoach’s South Lateral 39 miles to an interconnection with Transcontinental Gas Pipe Line Company, LLC.</w:t>
      </w:r>
    </w:p>
    <w:p w14:paraId="27970447" w14:textId="77777777" w:rsidR="008C64B1" w:rsidRPr="008C64B1" w:rsidRDefault="008C64B1" w:rsidP="00E16E3A">
      <w:pPr>
        <w:rPr>
          <w:rFonts w:asciiTheme="majorHAnsi" w:hAnsiTheme="majorHAnsi"/>
          <w:color w:val="000000" w:themeColor="text1"/>
          <w:sz w:val="22"/>
          <w:szCs w:val="22"/>
        </w:rPr>
      </w:pPr>
    </w:p>
    <w:p w14:paraId="678BE39E" w14:textId="77777777" w:rsidR="008C64B1" w:rsidRPr="008C64B1" w:rsidRDefault="008C64B1" w:rsidP="00E16E3A">
      <w:pPr>
        <w:rPr>
          <w:rFonts w:asciiTheme="majorHAnsi" w:hAnsiTheme="majorHAnsi"/>
          <w:b/>
          <w:color w:val="000000" w:themeColor="text1"/>
          <w:sz w:val="22"/>
          <w:szCs w:val="22"/>
        </w:rPr>
      </w:pPr>
      <w:r w:rsidRPr="008C64B1">
        <w:rPr>
          <w:rFonts w:asciiTheme="majorHAnsi" w:hAnsiTheme="majorHAnsi"/>
          <w:b/>
          <w:color w:val="000000" w:themeColor="text1"/>
          <w:sz w:val="22"/>
          <w:szCs w:val="22"/>
        </w:rPr>
        <w:t>FSS Rate Schedule</w:t>
      </w:r>
    </w:p>
    <w:p w14:paraId="7CA81DB4" w14:textId="77777777" w:rsidR="008C64B1" w:rsidRPr="008C64B1" w:rsidRDefault="008C64B1" w:rsidP="00E16E3A">
      <w:pPr>
        <w:rPr>
          <w:rFonts w:asciiTheme="majorHAnsi" w:hAnsiTheme="majorHAnsi"/>
          <w:color w:val="000000" w:themeColor="text1"/>
          <w:sz w:val="22"/>
          <w:szCs w:val="22"/>
        </w:rPr>
      </w:pPr>
    </w:p>
    <w:p w14:paraId="58888584" w14:textId="77777777" w:rsidR="008C64B1" w:rsidRPr="008C64B1" w:rsidRDefault="008C64B1" w:rsidP="008C64B1">
      <w:pPr>
        <w:pStyle w:val="Default"/>
        <w:rPr>
          <w:rFonts w:asciiTheme="majorHAnsi" w:hAnsiTheme="majorHAnsi"/>
          <w:color w:val="000000" w:themeColor="text1"/>
          <w:sz w:val="22"/>
          <w:szCs w:val="22"/>
        </w:rPr>
      </w:pPr>
      <w:r w:rsidRPr="008C64B1">
        <w:rPr>
          <w:rFonts w:asciiTheme="majorHAnsi" w:hAnsiTheme="majorHAnsi"/>
          <w:color w:val="000000" w:themeColor="text1"/>
          <w:sz w:val="22"/>
          <w:szCs w:val="22"/>
        </w:rPr>
        <w:t xml:space="preserve">(g) North Lateral Maximum Daily Quantity (“NLMDQ”). A Customer that selects the Millennium Interconnect or a North Lateral Intermediate Point as a Point of Injection/Withdrawal under its FSS Service Agreement shall designate a quantity, not to exceed its Maximum Daily Withdrawal Quantity, that shall represent firm capacity on the North Lateral that is a component of its FSS Service ("North Lateral Maximum Daily Quantity") for which Customer shall pay the North Lateral Reservation Rate. A Customer may add the Millennium Interconnect or a North Lateral Intermediate Point as a Point of Injection/Withdrawal and, in so doing, shall designate a North Lateral Maximum Daily Quantity, not to exceed its Maximum Daily Withdrawal Quantity, for which it shall pay the North Lateral Reservation Rate. </w:t>
      </w:r>
    </w:p>
    <w:p w14:paraId="0876EE00" w14:textId="77777777" w:rsidR="008C64B1" w:rsidRPr="008C64B1" w:rsidRDefault="008C64B1" w:rsidP="008C64B1">
      <w:pPr>
        <w:rPr>
          <w:rFonts w:asciiTheme="majorHAnsi" w:hAnsiTheme="majorHAnsi"/>
          <w:color w:val="000000" w:themeColor="text1"/>
          <w:sz w:val="22"/>
          <w:szCs w:val="22"/>
        </w:rPr>
      </w:pPr>
      <w:r w:rsidRPr="008C64B1">
        <w:rPr>
          <w:rFonts w:asciiTheme="majorHAnsi" w:hAnsiTheme="majorHAnsi"/>
          <w:color w:val="000000" w:themeColor="text1"/>
          <w:sz w:val="22"/>
          <w:szCs w:val="22"/>
        </w:rPr>
        <w:t>(h) South Lateral Maximum Daily Quantity (“SLMDQ”). A Customer that selects the TGP Interconnect or a South Lateral Intermediate Point as a Point of Injection/Withdrawal under its FSS Service Agreement shall designate a quantity, not to exceed its Maximum Daily Withdrawal Quantity, that shall represent firm capacity on the South Lateral that is a component of its FSS Service ("South Lateral Maximum Daily Quantity") for which Customer shall pay the South Lateral Reservation Rate. A Customer may add the TGP Interconnect or a South Lateral Intermediate Point as a Point of Injection/Withdrawal and, in so doing, shall designate a South Lateral Maximum Daily Quantity, not to exceed its Maximum Daily Withdrawal Quantity, for which it shall pay the South Lateral Reservation Rate.</w:t>
      </w:r>
    </w:p>
    <w:sectPr w:rsidR="008C64B1" w:rsidRPr="008C64B1">
      <w:headerReference w:type="default" r:id="rId8"/>
      <w:endnotePr>
        <w:numFmt w:val="decimal"/>
      </w:endnotePr>
      <w:pgSz w:w="12240" w:h="15840"/>
      <w:pgMar w:top="2160" w:right="1440" w:bottom="1440" w:left="1440" w:header="720" w:footer="720" w:gutter="0"/>
      <w:pgNumType w:start="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5ED727" w14:textId="77777777" w:rsidR="00941C44" w:rsidRDefault="00941C44">
      <w:r>
        <w:separator/>
      </w:r>
    </w:p>
  </w:endnote>
  <w:endnote w:type="continuationSeparator" w:id="0">
    <w:p w14:paraId="1CB5370A" w14:textId="77777777" w:rsidR="00941C44" w:rsidRDefault="00941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1B824E" w14:textId="77777777" w:rsidR="00941C44" w:rsidRDefault="00941C44">
      <w:r>
        <w:separator/>
      </w:r>
    </w:p>
  </w:footnote>
  <w:footnote w:type="continuationSeparator" w:id="0">
    <w:p w14:paraId="3AA90219" w14:textId="77777777" w:rsidR="00941C44" w:rsidRDefault="00941C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614B5F" w14:textId="42AB544B" w:rsidR="00514975" w:rsidRPr="007A753B" w:rsidRDefault="00514975" w:rsidP="00FB11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36"/>
        <w:szCs w:val="36"/>
      </w:rPr>
    </w:pPr>
    <w:r w:rsidRPr="007A753B">
      <w:rPr>
        <w:b/>
        <w:sz w:val="36"/>
        <w:szCs w:val="36"/>
      </w:rPr>
      <w:t>M</w:t>
    </w:r>
    <w:r>
      <w:rPr>
        <w:b/>
        <w:sz w:val="36"/>
        <w:szCs w:val="36"/>
      </w:rPr>
      <w:t>C</w:t>
    </w:r>
    <w:r w:rsidR="007435F1">
      <w:rPr>
        <w:b/>
        <w:sz w:val="36"/>
        <w:szCs w:val="36"/>
      </w:rPr>
      <w:t>21008</w:t>
    </w:r>
  </w:p>
  <w:p w14:paraId="369550B5" w14:textId="77777777" w:rsidR="00514975" w:rsidRPr="00F75E6C" w:rsidRDefault="00514975" w:rsidP="00FB11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rPr>
    </w:pPr>
    <w:r w:rsidRPr="00F75E6C">
      <w:rPr>
        <w:b/>
        <w:sz w:val="22"/>
      </w:rPr>
      <w:t>North American Energy Standards Board</w:t>
    </w:r>
  </w:p>
  <w:p w14:paraId="1945F763" w14:textId="77777777" w:rsidR="00514975" w:rsidRPr="00F75E6C" w:rsidRDefault="00514975" w:rsidP="00FB11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rPr>
    </w:pPr>
  </w:p>
  <w:p w14:paraId="2C305D51" w14:textId="77777777" w:rsidR="00514975" w:rsidRPr="00F75E6C" w:rsidRDefault="00514975" w:rsidP="00FB11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rPr>
    </w:pPr>
    <w:r w:rsidRPr="00F75E6C">
      <w:rPr>
        <w:b/>
        <w:sz w:val="22"/>
      </w:rPr>
      <w:t>Request for Minor Correction/Clarification of a NAESB Business Practice Standard, Model Business Practice or Electronic Transaction</w:t>
    </w:r>
  </w:p>
  <w:p w14:paraId="5678C9C9" w14:textId="77777777" w:rsidR="00514975" w:rsidRPr="00F75E6C" w:rsidRDefault="00514975" w:rsidP="00FB11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665405"/>
    <w:multiLevelType w:val="hybridMultilevel"/>
    <w:tmpl w:val="5D4A69CE"/>
    <w:lvl w:ilvl="0" w:tplc="A4A602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7A7FDA"/>
    <w:multiLevelType w:val="hybridMultilevel"/>
    <w:tmpl w:val="E84C5D44"/>
    <w:lvl w:ilvl="0" w:tplc="0409000F">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35DF5D85"/>
    <w:multiLevelType w:val="hybridMultilevel"/>
    <w:tmpl w:val="AEA803CA"/>
    <w:lvl w:ilvl="0" w:tplc="232CA2BC">
      <w:start w:val="1"/>
      <w:numFmt w:val="decimal"/>
      <w:lvlText w:val="%1)"/>
      <w:lvlJc w:val="left"/>
      <w:pPr>
        <w:ind w:left="540" w:hanging="360"/>
      </w:pPr>
      <w:rPr>
        <w:rFonts w:hint="default"/>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986FE7"/>
    <w:multiLevelType w:val="hybridMultilevel"/>
    <w:tmpl w:val="78A6F03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1F5107E"/>
    <w:multiLevelType w:val="hybridMultilevel"/>
    <w:tmpl w:val="F0628D7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731"/>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5B7"/>
    <w:rsid w:val="00014B5D"/>
    <w:rsid w:val="00015C5E"/>
    <w:rsid w:val="000242D2"/>
    <w:rsid w:val="000425F2"/>
    <w:rsid w:val="00053089"/>
    <w:rsid w:val="00070AA7"/>
    <w:rsid w:val="00074F05"/>
    <w:rsid w:val="00077D95"/>
    <w:rsid w:val="000C4477"/>
    <w:rsid w:val="000D3454"/>
    <w:rsid w:val="000D61E3"/>
    <w:rsid w:val="000E151D"/>
    <w:rsid w:val="0010622E"/>
    <w:rsid w:val="001102D3"/>
    <w:rsid w:val="00124BDF"/>
    <w:rsid w:val="001309BD"/>
    <w:rsid w:val="00134C6C"/>
    <w:rsid w:val="00142682"/>
    <w:rsid w:val="00142801"/>
    <w:rsid w:val="00142E11"/>
    <w:rsid w:val="00151239"/>
    <w:rsid w:val="00153F56"/>
    <w:rsid w:val="00165414"/>
    <w:rsid w:val="001B4C77"/>
    <w:rsid w:val="001B5AC5"/>
    <w:rsid w:val="001C7B73"/>
    <w:rsid w:val="001E3DC8"/>
    <w:rsid w:val="001F1CC1"/>
    <w:rsid w:val="001F2E2C"/>
    <w:rsid w:val="001F74D4"/>
    <w:rsid w:val="0021270E"/>
    <w:rsid w:val="00222BAF"/>
    <w:rsid w:val="00222FB7"/>
    <w:rsid w:val="002334CB"/>
    <w:rsid w:val="0023554A"/>
    <w:rsid w:val="00240604"/>
    <w:rsid w:val="00243F68"/>
    <w:rsid w:val="002472DF"/>
    <w:rsid w:val="00254093"/>
    <w:rsid w:val="00270B89"/>
    <w:rsid w:val="002732C6"/>
    <w:rsid w:val="002D2EA2"/>
    <w:rsid w:val="002D3AE7"/>
    <w:rsid w:val="002E7DE6"/>
    <w:rsid w:val="00326466"/>
    <w:rsid w:val="00350BFE"/>
    <w:rsid w:val="00354FA4"/>
    <w:rsid w:val="00362BFB"/>
    <w:rsid w:val="00363280"/>
    <w:rsid w:val="00367AA9"/>
    <w:rsid w:val="0038692E"/>
    <w:rsid w:val="003960DF"/>
    <w:rsid w:val="003A654B"/>
    <w:rsid w:val="003B63F9"/>
    <w:rsid w:val="003D4229"/>
    <w:rsid w:val="003E39C4"/>
    <w:rsid w:val="003F5AF2"/>
    <w:rsid w:val="00402FA8"/>
    <w:rsid w:val="00403292"/>
    <w:rsid w:val="00407209"/>
    <w:rsid w:val="004279AD"/>
    <w:rsid w:val="00442102"/>
    <w:rsid w:val="0044778C"/>
    <w:rsid w:val="00451BDC"/>
    <w:rsid w:val="00451C9B"/>
    <w:rsid w:val="00481AE0"/>
    <w:rsid w:val="004A47CA"/>
    <w:rsid w:val="004A5B3C"/>
    <w:rsid w:val="004C3303"/>
    <w:rsid w:val="004D276C"/>
    <w:rsid w:val="004D3977"/>
    <w:rsid w:val="004D3F9D"/>
    <w:rsid w:val="004E34DF"/>
    <w:rsid w:val="00512DFA"/>
    <w:rsid w:val="00514975"/>
    <w:rsid w:val="0052226A"/>
    <w:rsid w:val="0053534A"/>
    <w:rsid w:val="00543962"/>
    <w:rsid w:val="0054624C"/>
    <w:rsid w:val="00595D7A"/>
    <w:rsid w:val="005A7225"/>
    <w:rsid w:val="005B1939"/>
    <w:rsid w:val="005D1772"/>
    <w:rsid w:val="005D5F17"/>
    <w:rsid w:val="005D78EC"/>
    <w:rsid w:val="005D7C1D"/>
    <w:rsid w:val="005F5F7F"/>
    <w:rsid w:val="0060224D"/>
    <w:rsid w:val="00607B13"/>
    <w:rsid w:val="0063324C"/>
    <w:rsid w:val="0063742F"/>
    <w:rsid w:val="00643645"/>
    <w:rsid w:val="00655A7A"/>
    <w:rsid w:val="00663279"/>
    <w:rsid w:val="006676AA"/>
    <w:rsid w:val="00675A23"/>
    <w:rsid w:val="006779D8"/>
    <w:rsid w:val="006A4C9C"/>
    <w:rsid w:val="006A683C"/>
    <w:rsid w:val="006E2F4C"/>
    <w:rsid w:val="006F4615"/>
    <w:rsid w:val="00702700"/>
    <w:rsid w:val="007037B7"/>
    <w:rsid w:val="0070652C"/>
    <w:rsid w:val="007101DF"/>
    <w:rsid w:val="007164B1"/>
    <w:rsid w:val="00723640"/>
    <w:rsid w:val="007267A6"/>
    <w:rsid w:val="0073448C"/>
    <w:rsid w:val="007435F1"/>
    <w:rsid w:val="007475B7"/>
    <w:rsid w:val="00775C3F"/>
    <w:rsid w:val="00784538"/>
    <w:rsid w:val="007A65DF"/>
    <w:rsid w:val="007A753B"/>
    <w:rsid w:val="007B6A51"/>
    <w:rsid w:val="007E02ED"/>
    <w:rsid w:val="00807A42"/>
    <w:rsid w:val="0084586E"/>
    <w:rsid w:val="0084715C"/>
    <w:rsid w:val="0085187D"/>
    <w:rsid w:val="008658A7"/>
    <w:rsid w:val="0088458E"/>
    <w:rsid w:val="008846AD"/>
    <w:rsid w:val="00887B6C"/>
    <w:rsid w:val="008A2AEB"/>
    <w:rsid w:val="008C4AD7"/>
    <w:rsid w:val="008C64B1"/>
    <w:rsid w:val="008C6FCE"/>
    <w:rsid w:val="008D0C58"/>
    <w:rsid w:val="008E0EC4"/>
    <w:rsid w:val="008E163F"/>
    <w:rsid w:val="008E249D"/>
    <w:rsid w:val="008E353E"/>
    <w:rsid w:val="008F3A50"/>
    <w:rsid w:val="008F59A1"/>
    <w:rsid w:val="008F72A1"/>
    <w:rsid w:val="00902AA5"/>
    <w:rsid w:val="00915145"/>
    <w:rsid w:val="00931B8B"/>
    <w:rsid w:val="00941357"/>
    <w:rsid w:val="00941C44"/>
    <w:rsid w:val="00945074"/>
    <w:rsid w:val="009525DA"/>
    <w:rsid w:val="009552B4"/>
    <w:rsid w:val="00964109"/>
    <w:rsid w:val="00966354"/>
    <w:rsid w:val="00980984"/>
    <w:rsid w:val="00991CA3"/>
    <w:rsid w:val="009A1930"/>
    <w:rsid w:val="009A549E"/>
    <w:rsid w:val="009B1B3A"/>
    <w:rsid w:val="009C1741"/>
    <w:rsid w:val="009D34A6"/>
    <w:rsid w:val="009D5779"/>
    <w:rsid w:val="009E433F"/>
    <w:rsid w:val="009E7B04"/>
    <w:rsid w:val="009F32D7"/>
    <w:rsid w:val="00A36DB0"/>
    <w:rsid w:val="00A41B21"/>
    <w:rsid w:val="00A501DD"/>
    <w:rsid w:val="00A63094"/>
    <w:rsid w:val="00A65B9B"/>
    <w:rsid w:val="00A91FD9"/>
    <w:rsid w:val="00AC19CD"/>
    <w:rsid w:val="00AD63D4"/>
    <w:rsid w:val="00AF1485"/>
    <w:rsid w:val="00B1048A"/>
    <w:rsid w:val="00B234EA"/>
    <w:rsid w:val="00B269B2"/>
    <w:rsid w:val="00B516D3"/>
    <w:rsid w:val="00B55768"/>
    <w:rsid w:val="00B55D05"/>
    <w:rsid w:val="00B748A9"/>
    <w:rsid w:val="00B81BDC"/>
    <w:rsid w:val="00B94DAF"/>
    <w:rsid w:val="00BA1D01"/>
    <w:rsid w:val="00BA3D0A"/>
    <w:rsid w:val="00BB284E"/>
    <w:rsid w:val="00BB4315"/>
    <w:rsid w:val="00BC5D41"/>
    <w:rsid w:val="00BD1823"/>
    <w:rsid w:val="00BD6242"/>
    <w:rsid w:val="00BE674F"/>
    <w:rsid w:val="00BF25E6"/>
    <w:rsid w:val="00BF36AC"/>
    <w:rsid w:val="00BF57AD"/>
    <w:rsid w:val="00C121F7"/>
    <w:rsid w:val="00C200FC"/>
    <w:rsid w:val="00C2038B"/>
    <w:rsid w:val="00C30CD1"/>
    <w:rsid w:val="00C42488"/>
    <w:rsid w:val="00C50404"/>
    <w:rsid w:val="00C66810"/>
    <w:rsid w:val="00C82866"/>
    <w:rsid w:val="00C95D9C"/>
    <w:rsid w:val="00CA1F31"/>
    <w:rsid w:val="00CA6863"/>
    <w:rsid w:val="00CB1B45"/>
    <w:rsid w:val="00CC69FB"/>
    <w:rsid w:val="00CF095D"/>
    <w:rsid w:val="00CF7C7D"/>
    <w:rsid w:val="00D046CF"/>
    <w:rsid w:val="00D05FC3"/>
    <w:rsid w:val="00D141D4"/>
    <w:rsid w:val="00D3463D"/>
    <w:rsid w:val="00D61526"/>
    <w:rsid w:val="00D6168B"/>
    <w:rsid w:val="00D63AB0"/>
    <w:rsid w:val="00D672B6"/>
    <w:rsid w:val="00D71D3C"/>
    <w:rsid w:val="00D72EFF"/>
    <w:rsid w:val="00D8421D"/>
    <w:rsid w:val="00D8517D"/>
    <w:rsid w:val="00D92F87"/>
    <w:rsid w:val="00D95D2A"/>
    <w:rsid w:val="00DA6213"/>
    <w:rsid w:val="00DB5FBC"/>
    <w:rsid w:val="00DE60DB"/>
    <w:rsid w:val="00E16E3A"/>
    <w:rsid w:val="00E209A7"/>
    <w:rsid w:val="00E31B9E"/>
    <w:rsid w:val="00E500C8"/>
    <w:rsid w:val="00E55CC5"/>
    <w:rsid w:val="00E70259"/>
    <w:rsid w:val="00E7260A"/>
    <w:rsid w:val="00E77FD1"/>
    <w:rsid w:val="00E84229"/>
    <w:rsid w:val="00E85C02"/>
    <w:rsid w:val="00E87682"/>
    <w:rsid w:val="00E92E7E"/>
    <w:rsid w:val="00E947F6"/>
    <w:rsid w:val="00EA72B5"/>
    <w:rsid w:val="00EB03DC"/>
    <w:rsid w:val="00EC1D2C"/>
    <w:rsid w:val="00EE06FB"/>
    <w:rsid w:val="00EF37D5"/>
    <w:rsid w:val="00EF4D32"/>
    <w:rsid w:val="00F051C4"/>
    <w:rsid w:val="00F1607D"/>
    <w:rsid w:val="00F3017A"/>
    <w:rsid w:val="00F349C7"/>
    <w:rsid w:val="00F45CAC"/>
    <w:rsid w:val="00F46B15"/>
    <w:rsid w:val="00F47D71"/>
    <w:rsid w:val="00F60373"/>
    <w:rsid w:val="00F73EE4"/>
    <w:rsid w:val="00F75E6C"/>
    <w:rsid w:val="00F76A2A"/>
    <w:rsid w:val="00F86136"/>
    <w:rsid w:val="00FB11FE"/>
    <w:rsid w:val="00FB7D63"/>
    <w:rsid w:val="00FC70E9"/>
    <w:rsid w:val="00FD4F31"/>
    <w:rsid w:val="00FD75A1"/>
    <w:rsid w:val="00FE103A"/>
    <w:rsid w:val="00FE7BD9"/>
    <w:rsid w:val="00FF63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BB128E"/>
  <w15:docId w15:val="{0002C3D5-C158-456F-AEEE-732BA9D55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22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paragraph" w:styleId="Footer">
    <w:name w:val="footer"/>
    <w:basedOn w:val="Normal"/>
    <w:rsid w:val="00FB11FE"/>
    <w:pPr>
      <w:tabs>
        <w:tab w:val="center" w:pos="4320"/>
        <w:tab w:val="right" w:pos="8640"/>
      </w:tabs>
    </w:pPr>
  </w:style>
  <w:style w:type="paragraph" w:styleId="FootnoteText">
    <w:name w:val="footnote text"/>
    <w:basedOn w:val="Normal"/>
    <w:semiHidden/>
    <w:rsid w:val="00222BAF"/>
  </w:style>
  <w:style w:type="character" w:styleId="FootnoteReference">
    <w:name w:val="footnote reference"/>
    <w:semiHidden/>
    <w:rsid w:val="00222BAF"/>
    <w:rPr>
      <w:rFonts w:cs="Times New Roman"/>
    </w:rPr>
  </w:style>
  <w:style w:type="table" w:styleId="TableGrid">
    <w:name w:val="Table Grid"/>
    <w:basedOn w:val="TableNormal"/>
    <w:rsid w:val="00222B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A1930"/>
    <w:pPr>
      <w:ind w:left="720"/>
      <w:contextualSpacing/>
    </w:pPr>
  </w:style>
  <w:style w:type="paragraph" w:customStyle="1" w:styleId="Default">
    <w:name w:val="Default"/>
    <w:rsid w:val="008C64B1"/>
    <w:pPr>
      <w:autoSpaceDE w:val="0"/>
      <w:autoSpaceDN w:val="0"/>
      <w:adjustRightInd w:val="0"/>
    </w:pPr>
    <w:rPr>
      <w:rFonts w:ascii="Courier New" w:hAnsi="Courier New" w:cs="Courier Ne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339313">
      <w:bodyDiv w:val="1"/>
      <w:marLeft w:val="0"/>
      <w:marRight w:val="0"/>
      <w:marTop w:val="0"/>
      <w:marBottom w:val="0"/>
      <w:divBdr>
        <w:top w:val="none" w:sz="0" w:space="0" w:color="auto"/>
        <w:left w:val="none" w:sz="0" w:space="0" w:color="auto"/>
        <w:bottom w:val="none" w:sz="0" w:space="0" w:color="auto"/>
        <w:right w:val="none" w:sz="0" w:space="0" w:color="auto"/>
      </w:divBdr>
    </w:div>
    <w:div w:id="73165499">
      <w:bodyDiv w:val="1"/>
      <w:marLeft w:val="0"/>
      <w:marRight w:val="0"/>
      <w:marTop w:val="0"/>
      <w:marBottom w:val="0"/>
      <w:divBdr>
        <w:top w:val="none" w:sz="0" w:space="0" w:color="auto"/>
        <w:left w:val="none" w:sz="0" w:space="0" w:color="auto"/>
        <w:bottom w:val="none" w:sz="0" w:space="0" w:color="auto"/>
        <w:right w:val="none" w:sz="0" w:space="0" w:color="auto"/>
      </w:divBdr>
    </w:div>
    <w:div w:id="206337600">
      <w:bodyDiv w:val="1"/>
      <w:marLeft w:val="0"/>
      <w:marRight w:val="0"/>
      <w:marTop w:val="0"/>
      <w:marBottom w:val="0"/>
      <w:divBdr>
        <w:top w:val="none" w:sz="0" w:space="0" w:color="auto"/>
        <w:left w:val="none" w:sz="0" w:space="0" w:color="auto"/>
        <w:bottom w:val="none" w:sz="0" w:space="0" w:color="auto"/>
        <w:right w:val="none" w:sz="0" w:space="0" w:color="auto"/>
      </w:divBdr>
    </w:div>
    <w:div w:id="609631864">
      <w:bodyDiv w:val="1"/>
      <w:marLeft w:val="0"/>
      <w:marRight w:val="0"/>
      <w:marTop w:val="0"/>
      <w:marBottom w:val="0"/>
      <w:divBdr>
        <w:top w:val="none" w:sz="0" w:space="0" w:color="auto"/>
        <w:left w:val="none" w:sz="0" w:space="0" w:color="auto"/>
        <w:bottom w:val="none" w:sz="0" w:space="0" w:color="auto"/>
        <w:right w:val="none" w:sz="0" w:space="0" w:color="auto"/>
      </w:divBdr>
    </w:div>
    <w:div w:id="656807046">
      <w:bodyDiv w:val="1"/>
      <w:marLeft w:val="0"/>
      <w:marRight w:val="0"/>
      <w:marTop w:val="0"/>
      <w:marBottom w:val="0"/>
      <w:divBdr>
        <w:top w:val="none" w:sz="0" w:space="0" w:color="auto"/>
        <w:left w:val="none" w:sz="0" w:space="0" w:color="auto"/>
        <w:bottom w:val="none" w:sz="0" w:space="0" w:color="auto"/>
        <w:right w:val="none" w:sz="0" w:space="0" w:color="auto"/>
      </w:divBdr>
    </w:div>
    <w:div w:id="756902862">
      <w:bodyDiv w:val="1"/>
      <w:marLeft w:val="0"/>
      <w:marRight w:val="0"/>
      <w:marTop w:val="0"/>
      <w:marBottom w:val="0"/>
      <w:divBdr>
        <w:top w:val="none" w:sz="0" w:space="0" w:color="auto"/>
        <w:left w:val="none" w:sz="0" w:space="0" w:color="auto"/>
        <w:bottom w:val="none" w:sz="0" w:space="0" w:color="auto"/>
        <w:right w:val="none" w:sz="0" w:space="0" w:color="auto"/>
      </w:divBdr>
    </w:div>
    <w:div w:id="1234699329">
      <w:bodyDiv w:val="1"/>
      <w:marLeft w:val="0"/>
      <w:marRight w:val="0"/>
      <w:marTop w:val="0"/>
      <w:marBottom w:val="0"/>
      <w:divBdr>
        <w:top w:val="none" w:sz="0" w:space="0" w:color="auto"/>
        <w:left w:val="none" w:sz="0" w:space="0" w:color="auto"/>
        <w:bottom w:val="none" w:sz="0" w:space="0" w:color="auto"/>
        <w:right w:val="none" w:sz="0" w:space="0" w:color="auto"/>
      </w:divBdr>
    </w:div>
    <w:div w:id="1328097769">
      <w:bodyDiv w:val="1"/>
      <w:marLeft w:val="0"/>
      <w:marRight w:val="0"/>
      <w:marTop w:val="0"/>
      <w:marBottom w:val="0"/>
      <w:divBdr>
        <w:top w:val="none" w:sz="0" w:space="0" w:color="auto"/>
        <w:left w:val="none" w:sz="0" w:space="0" w:color="auto"/>
        <w:bottom w:val="none" w:sz="0" w:space="0" w:color="auto"/>
        <w:right w:val="none" w:sz="0" w:space="0" w:color="auto"/>
      </w:divBdr>
    </w:div>
    <w:div w:id="1402559350">
      <w:bodyDiv w:val="1"/>
      <w:marLeft w:val="0"/>
      <w:marRight w:val="0"/>
      <w:marTop w:val="0"/>
      <w:marBottom w:val="0"/>
      <w:divBdr>
        <w:top w:val="none" w:sz="0" w:space="0" w:color="auto"/>
        <w:left w:val="none" w:sz="0" w:space="0" w:color="auto"/>
        <w:bottom w:val="none" w:sz="0" w:space="0" w:color="auto"/>
        <w:right w:val="none" w:sz="0" w:space="0" w:color="auto"/>
      </w:divBdr>
    </w:div>
    <w:div w:id="1851018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ark_Gracey@kindermorga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171</TotalTime>
  <Pages>1</Pages>
  <Words>580</Words>
  <Characters>3307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North American Energy Standards Board</vt:lpstr>
    </vt:vector>
  </TitlesOfParts>
  <Company>Tenneco Energy</Company>
  <LinksUpToDate>false</LinksUpToDate>
  <CharactersWithSpaces>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American Energy Standards Board</dc:title>
  <dc:creator>JoAnn Garcia</dc:creator>
  <cp:lastModifiedBy>Veronica Thomason</cp:lastModifiedBy>
  <cp:revision>9</cp:revision>
  <cp:lastPrinted>2019-05-22T13:55:00Z</cp:lastPrinted>
  <dcterms:created xsi:type="dcterms:W3CDTF">2021-10-12T18:40:00Z</dcterms:created>
  <dcterms:modified xsi:type="dcterms:W3CDTF">2021-10-21T21:57:00Z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