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t>by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w:t>
      </w:r>
      <w:r>
        <w:rPr>
          <w:sz w:val="22"/>
          <w:u w:val="single"/>
        </w:rPr>
        <w:t>September 18, 2012</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r>
        <w:rPr>
          <w:sz w:val="22"/>
          <w:u w:val="single"/>
        </w:rPr>
        <w:t>Micki  Schmitz</w:t>
      </w:r>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Phone :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autoSpaceDE w:val="0"/>
        <w:autoSpaceDN w:val="0"/>
        <w:adjustRightInd w:val="0"/>
        <w:ind w:left="720"/>
        <w:rPr>
          <w:rFonts w:ascii="Arial" w:hAnsi="Arial" w:cs="Arial"/>
          <w:b/>
          <w:bCs/>
          <w:sz w:val="22"/>
          <w:szCs w:val="23"/>
        </w:rPr>
      </w:pPr>
      <w:r>
        <w:rPr>
          <w:rFonts w:ascii="Arial" w:hAnsi="Arial" w:cs="Arial"/>
          <w:sz w:val="22"/>
          <w:szCs w:val="22"/>
        </w:rPr>
        <w:t xml:space="preserve">This request proposes the addition of 4 code values for the data element “Capacity Type Indicator” in the </w:t>
      </w:r>
      <w:r>
        <w:rPr>
          <w:rFonts w:ascii="Arial" w:hAnsi="Arial" w:cs="Arial"/>
          <w:b/>
          <w:bCs/>
          <w:sz w:val="22"/>
          <w:szCs w:val="23"/>
        </w:rPr>
        <w:t xml:space="preserve">NAESB WGQ Standard 1.4.5 – Scheduled Quantity </w:t>
      </w:r>
      <w:r>
        <w:rPr>
          <w:rFonts w:ascii="Arial" w:hAnsi="Arial" w:cs="Arial"/>
          <w:sz w:val="22"/>
          <w:szCs w:val="22"/>
        </w:rPr>
        <w:t xml:space="preserve">of the NAESB WGQ Version 2.1 release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autoSpaceDE w:val="0"/>
        <w:autoSpaceDN w:val="0"/>
        <w:adjustRightInd w:val="0"/>
        <w:ind w:left="720"/>
        <w:rPr>
          <w:rFonts w:ascii="Arial" w:hAnsi="Arial" w:cs="Arial"/>
          <w:b/>
          <w:bCs/>
          <w:sz w:val="22"/>
          <w:szCs w:val="23"/>
        </w:rPr>
      </w:pPr>
      <w:bookmarkStart w:id="1" w:name="OLE_LINK3"/>
      <w:bookmarkStart w:id="2" w:name="OLE_LINK4"/>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Document Name and No.:  NAESB WGQ Standard 1.4.5 – Scheduled Quantity</w:t>
      </w:r>
    </w:p>
    <w:p>
      <w:pPr>
        <w:autoSpaceDE w:val="0"/>
        <w:autoSpaceDN w:val="0"/>
        <w:adjustRightInd w:val="0"/>
        <w:ind w:left="720"/>
        <w:rPr>
          <w:rFonts w:ascii="Arial" w:hAnsi="Arial" w:cs="Arial"/>
          <w:b/>
          <w:bCs/>
          <w:sz w:val="22"/>
          <w:szCs w:val="23"/>
        </w:rPr>
      </w:pP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Capacity Type Indicator</w:t>
      </w:r>
    </w:p>
    <w:p>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tc>
          <w:tcPr>
            <w:tcW w:w="316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tc>
          <w:tcPr>
            <w:tcW w:w="3168" w:type="dxa"/>
          </w:tcPr>
          <w:p>
            <w:pPr>
              <w:rPr>
                <w:u w:val="single"/>
              </w:rPr>
            </w:pPr>
            <w:r>
              <w:rPr>
                <w:u w:val="single"/>
              </w:rPr>
              <w:t>Primary to Tertiary</w:t>
            </w:r>
          </w:p>
        </w:tc>
        <w:tc>
          <w:tcPr>
            <w:tcW w:w="4320" w:type="dxa"/>
          </w:tcPr>
          <w:p>
            <w:pPr>
              <w:rPr>
                <w:u w:val="single"/>
              </w:rPr>
            </w:pPr>
            <w:r>
              <w:rPr>
                <w:u w:val="single"/>
              </w:rPr>
              <w:t xml:space="preserve">Specifies primary receipt capacity to tertiary delivery capacity </w:t>
            </w:r>
          </w:p>
        </w:tc>
        <w:tc>
          <w:tcPr>
            <w:tcW w:w="1620" w:type="dxa"/>
          </w:tcPr>
          <w:p>
            <w:pPr>
              <w:rPr>
                <w:u w:val="single"/>
              </w:rPr>
            </w:pPr>
            <w:r>
              <w:rPr>
                <w:u w:val="single"/>
              </w:rPr>
              <w:t>PT</w:t>
            </w:r>
          </w:p>
        </w:tc>
      </w:tr>
      <w:tr>
        <w:tc>
          <w:tcPr>
            <w:tcW w:w="3168" w:type="dxa"/>
          </w:tcPr>
          <w:p>
            <w:pPr>
              <w:rPr>
                <w:u w:val="single"/>
              </w:rPr>
            </w:pPr>
            <w:r>
              <w:rPr>
                <w:u w:val="single"/>
              </w:rPr>
              <w:t>Secondary to Tertiary</w:t>
            </w:r>
          </w:p>
        </w:tc>
        <w:tc>
          <w:tcPr>
            <w:tcW w:w="4320" w:type="dxa"/>
          </w:tcPr>
          <w:p>
            <w:pPr>
              <w:rPr>
                <w:u w:val="single"/>
              </w:rPr>
            </w:pPr>
            <w:r>
              <w:rPr>
                <w:u w:val="single"/>
              </w:rPr>
              <w:t>Specifies secondary receipt capacity to tertiary delivery capacity</w:t>
            </w:r>
          </w:p>
        </w:tc>
        <w:tc>
          <w:tcPr>
            <w:tcW w:w="1620" w:type="dxa"/>
          </w:tcPr>
          <w:p>
            <w:pPr>
              <w:rPr>
                <w:u w:val="single"/>
              </w:rPr>
            </w:pPr>
            <w:r>
              <w:rPr>
                <w:u w:val="single"/>
              </w:rPr>
              <w:t>ST</w:t>
            </w:r>
          </w:p>
        </w:tc>
      </w:tr>
      <w:tr>
        <w:tc>
          <w:tcPr>
            <w:tcW w:w="3168" w:type="dxa"/>
          </w:tcPr>
          <w:p>
            <w:pPr>
              <w:rPr>
                <w:u w:val="single"/>
              </w:rPr>
            </w:pPr>
            <w:r>
              <w:rPr>
                <w:u w:val="single"/>
              </w:rPr>
              <w:t>Tertiary to Tertiary</w:t>
            </w:r>
          </w:p>
        </w:tc>
        <w:tc>
          <w:tcPr>
            <w:tcW w:w="4320" w:type="dxa"/>
          </w:tcPr>
          <w:p>
            <w:pPr>
              <w:rPr>
                <w:u w:val="single"/>
              </w:rPr>
            </w:pPr>
            <w:r>
              <w:rPr>
                <w:u w:val="single"/>
              </w:rPr>
              <w:t>Specifies tertiary receipt capacity to tertiary delivery capacity</w:t>
            </w:r>
          </w:p>
        </w:tc>
        <w:tc>
          <w:tcPr>
            <w:tcW w:w="1620" w:type="dxa"/>
          </w:tcPr>
          <w:p>
            <w:pPr>
              <w:rPr>
                <w:u w:val="single"/>
              </w:rPr>
            </w:pPr>
            <w:r>
              <w:rPr>
                <w:u w:val="single"/>
              </w:rPr>
              <w:t>YY</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pStyle w:val="Heading1"/>
      </w:pPr>
    </w:p>
    <w:p>
      <w:pPr>
        <w:autoSpaceDE w:val="0"/>
        <w:autoSpaceDN w:val="0"/>
        <w:adjustRightInd w:val="0"/>
        <w:ind w:left="720"/>
        <w:rPr>
          <w:rFonts w:ascii="Arial" w:hAnsi="Arial" w:cs="Arial"/>
          <w:b/>
          <w:bCs/>
          <w:sz w:val="22"/>
          <w:szCs w:val="23"/>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MC12033</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6047</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5</cp:revision>
  <cp:lastPrinted>2003-08-14T20:23:00Z</cp:lastPrinted>
  <dcterms:created xsi:type="dcterms:W3CDTF">2012-09-18T15:15:00Z</dcterms:created>
  <dcterms:modified xsi:type="dcterms:W3CDTF">2012-09-19T21:44:00Z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