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w:t>
      </w:r>
      <w:proofErr w:type="spellStart"/>
      <w:r>
        <w:rPr>
          <w:b/>
          <w:sz w:val="22"/>
        </w:rPr>
        <w:t>Fannin</w:t>
      </w:r>
      <w:proofErr w:type="spellEnd"/>
      <w:r>
        <w:rPr>
          <w:b/>
          <w:sz w:val="22"/>
        </w:rPr>
        <w:t xml:space="preserve">,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__</w:t>
      </w:r>
      <w:r>
        <w:rPr>
          <w:sz w:val="22"/>
          <w:u w:val="single"/>
        </w:rPr>
        <w:t>May 11, 2012</w:t>
      </w:r>
      <w:r>
        <w:rPr>
          <w:sz w:val="22"/>
        </w:rPr>
        <w:t>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proofErr w:type="gramStart"/>
      <w:r>
        <w:rPr>
          <w:sz w:val="22"/>
          <w:u w:val="single"/>
        </w:rPr>
        <w:t>Micki  Schmitz</w:t>
      </w:r>
      <w:proofErr w:type="gramEnd"/>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r>
      <w:proofErr w:type="gramStart"/>
      <w:r>
        <w:rPr>
          <w:sz w:val="22"/>
        </w:rPr>
        <w:t>Phone :</w:t>
      </w:r>
      <w:proofErr w:type="gramEnd"/>
      <w:r>
        <w:rPr>
          <w:sz w:val="22"/>
        </w:rPr>
        <w:t xml:space="preserve">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8"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 1 code value for the data element “Capacity Type Location Indicator” in the following datasets for the NAESB WGQ Version 2.0 release:</w:t>
      </w:r>
    </w:p>
    <w:p>
      <w:pPr>
        <w:autoSpaceDE w:val="0"/>
        <w:autoSpaceDN w:val="0"/>
        <w:adjustRightInd w:val="0"/>
        <w:ind w:left="720"/>
        <w:rPr>
          <w:rFonts w:ascii="Arial" w:hAnsi="Arial" w:cs="Arial"/>
          <w:b/>
          <w:bCs/>
          <w:sz w:val="22"/>
          <w:szCs w:val="23"/>
        </w:rPr>
      </w:pPr>
      <w:bookmarkStart w:id="1" w:name="OLE_LINK3"/>
      <w:bookmarkStart w:id="2" w:name="OLE_LINK4"/>
      <w:r>
        <w:rPr>
          <w:rFonts w:ascii="Arial" w:hAnsi="Arial" w:cs="Arial"/>
          <w:b/>
          <w:bCs/>
          <w:sz w:val="22"/>
          <w:szCs w:val="23"/>
        </w:rPr>
        <w:t>NAESB WGQ Standard 5.4.24 – Offer</w:t>
      </w:r>
    </w:p>
    <w:bookmarkEnd w:id="1"/>
    <w:bookmarkEnd w:id="2"/>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pStyle w:val="Heading1"/>
      </w:pPr>
      <w:r>
        <w:t>Code Values Dictionary</w:t>
      </w:r>
    </w:p>
    <w:p>
      <w:pPr>
        <w:autoSpaceDE w:val="0"/>
        <w:autoSpaceDN w:val="0"/>
        <w:adjustRightInd w:val="0"/>
        <w:rPr>
          <w:rFonts w:ascii="Arial" w:hAnsi="Arial" w:cs="Arial"/>
          <w:b/>
          <w:bCs/>
          <w:sz w:val="22"/>
          <w:szCs w:val="23"/>
        </w:rPr>
      </w:pPr>
    </w:p>
    <w:p>
      <w:pPr>
        <w:autoSpaceDE w:val="0"/>
        <w:autoSpaceDN w:val="0"/>
        <w:adjustRightInd w:val="0"/>
        <w:ind w:left="720"/>
        <w:rPr>
          <w:rFonts w:ascii="Arial" w:hAnsi="Arial" w:cs="Arial"/>
          <w:b/>
          <w:bCs/>
          <w:sz w:val="22"/>
          <w:szCs w:val="23"/>
        </w:rPr>
      </w:pPr>
      <w:r>
        <w:rPr>
          <w:rFonts w:ascii="Arial" w:hAnsi="Arial" w:cs="Arial"/>
          <w:b/>
          <w:bCs/>
          <w:sz w:val="22"/>
          <w:szCs w:val="23"/>
        </w:rPr>
        <w:t>Document Name and No.:  NAESB WGQ Standard 5.4.24 – Offer</w:t>
      </w:r>
    </w:p>
    <w:p>
      <w:pPr>
        <w:autoSpaceDE w:val="0"/>
        <w:autoSpaceDN w:val="0"/>
        <w:adjustRightInd w:val="0"/>
        <w:ind w:left="720"/>
        <w:rPr>
          <w:rFonts w:ascii="Arial" w:hAnsi="Arial" w:cs="Arial"/>
          <w:b/>
          <w:bCs/>
          <w:sz w:val="22"/>
          <w:szCs w:val="23"/>
        </w:rPr>
      </w:pPr>
    </w:p>
    <w:p>
      <w:pPr>
        <w:autoSpaceDE w:val="0"/>
        <w:autoSpaceDN w:val="0"/>
        <w:adjustRightInd w:val="0"/>
        <w:rPr>
          <w:rFonts w:ascii="Arial" w:hAnsi="Arial" w:cs="Arial"/>
          <w:sz w:val="22"/>
          <w:szCs w:val="23"/>
        </w:rPr>
      </w:pPr>
    </w:p>
    <w:p>
      <w:pPr>
        <w:autoSpaceDE w:val="0"/>
        <w:autoSpaceDN w:val="0"/>
        <w:adjustRightInd w:val="0"/>
        <w:rPr>
          <w:rFonts w:ascii="Arial" w:hAnsi="Arial" w:cs="Arial"/>
          <w:sz w:val="22"/>
          <w:szCs w:val="23"/>
        </w:rPr>
      </w:pPr>
    </w:p>
    <w:p>
      <w:pPr>
        <w:autoSpaceDE w:val="0"/>
        <w:autoSpaceDN w:val="0"/>
        <w:adjustRightInd w:val="0"/>
        <w:rPr>
          <w:rFonts w:ascii="Arial" w:hAnsi="Arial" w:cs="Arial"/>
          <w:sz w:val="22"/>
          <w:szCs w:val="23"/>
        </w:rPr>
      </w:pPr>
      <w:r>
        <w:rPr>
          <w:rFonts w:ascii="Arial" w:hAnsi="Arial" w:cs="Arial"/>
          <w:b/>
          <w:bCs/>
          <w:sz w:val="22"/>
          <w:szCs w:val="23"/>
        </w:rPr>
        <w:t>Data Element:</w:t>
      </w:r>
      <w:r>
        <w:rPr>
          <w:rFonts w:ascii="Arial" w:hAnsi="Arial" w:cs="Arial"/>
          <w:bCs/>
          <w:sz w:val="22"/>
          <w:szCs w:val="23"/>
        </w:rPr>
        <w:t xml:space="preserve"> </w:t>
      </w:r>
      <w:r>
        <w:rPr>
          <w:rFonts w:ascii="Arial" w:hAnsi="Arial" w:cs="Arial"/>
          <w:sz w:val="22"/>
          <w:szCs w:val="22"/>
        </w:rPr>
        <w:t>Capacity Type Location Indicator</w:t>
      </w:r>
      <w:r>
        <w:rPr>
          <w:rFonts w:ascii="Arial" w:hAnsi="Arial" w:cs="Arial"/>
          <w:bCs/>
          <w:sz w:val="22"/>
          <w:szCs w:val="23"/>
        </w:rPr>
        <w:t xml:space="preserve"> </w:t>
      </w:r>
    </w:p>
    <w:p>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tc>
          <w:tcPr>
            <w:tcW w:w="3168" w:type="dxa"/>
          </w:tcPr>
          <w:p>
            <w:pPr>
              <w:pStyle w:val="Heading2"/>
            </w:pPr>
            <w:r>
              <w:t>Code Value Description</w:t>
            </w:r>
          </w:p>
        </w:tc>
        <w:tc>
          <w:tcPr>
            <w:tcW w:w="4320" w:type="dxa"/>
          </w:tcPr>
          <w:p>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tc>
          <w:tcPr>
            <w:tcW w:w="3168" w:type="dxa"/>
          </w:tcPr>
          <w:p>
            <w:pPr>
              <w:rPr>
                <w:u w:val="single"/>
              </w:rPr>
            </w:pPr>
            <w:r>
              <w:rPr>
                <w:u w:val="single"/>
              </w:rPr>
              <w:t>Non Segmented</w:t>
            </w:r>
          </w:p>
        </w:tc>
        <w:tc>
          <w:tcPr>
            <w:tcW w:w="4320" w:type="dxa"/>
          </w:tcPr>
          <w:p>
            <w:pPr>
              <w:rPr>
                <w:u w:val="single"/>
              </w:rPr>
            </w:pPr>
          </w:p>
        </w:tc>
        <w:tc>
          <w:tcPr>
            <w:tcW w:w="1620" w:type="dxa"/>
          </w:tcPr>
          <w:p>
            <w:pPr>
              <w:rPr>
                <w:u w:val="single"/>
              </w:rPr>
            </w:pPr>
            <w:r>
              <w:rPr>
                <w:u w:val="single"/>
              </w:rPr>
              <w:t>NS</w:t>
            </w:r>
          </w:p>
        </w:tc>
      </w:tr>
      <w:tr>
        <w:tc>
          <w:tcPr>
            <w:tcW w:w="3168" w:type="dxa"/>
          </w:tcPr>
          <w:p>
            <w:pPr>
              <w:rPr>
                <w:u w:val="single"/>
              </w:rPr>
            </w:pPr>
            <w:r>
              <w:rPr>
                <w:u w:val="single"/>
              </w:rPr>
              <w:t>Segmented</w:t>
            </w:r>
          </w:p>
        </w:tc>
        <w:tc>
          <w:tcPr>
            <w:tcW w:w="4320" w:type="dxa"/>
          </w:tcPr>
          <w:p>
            <w:pPr>
              <w:rPr>
                <w:u w:val="single"/>
              </w:rPr>
            </w:pPr>
          </w:p>
        </w:tc>
        <w:tc>
          <w:tcPr>
            <w:tcW w:w="1620" w:type="dxa"/>
          </w:tcPr>
          <w:p>
            <w:pPr>
              <w:rPr>
                <w:u w:val="single"/>
              </w:rPr>
            </w:pPr>
            <w:r>
              <w:rPr>
                <w:u w:val="single"/>
              </w:rPr>
              <w:t>SG</w:t>
            </w:r>
          </w:p>
        </w:tc>
      </w:tr>
    </w:tbl>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pStyle w:val="BodyText"/>
        <w:ind w:left="720"/>
        <w:rPr>
          <w:rFonts w:ascii="Arial" w:hAnsi="Arial" w:cs="Arial"/>
        </w:rPr>
      </w:pPr>
      <w:bookmarkStart w:id="3" w:name="OLE_LINK1"/>
      <w:bookmarkStart w:id="4" w:name="OLE_LINK2"/>
      <w:r>
        <w:rPr>
          <w:rFonts w:ascii="Arial" w:hAnsi="Arial" w:cs="Arial"/>
        </w:rPr>
        <w:t>The addition of this code provides the releasing shipper the ability to more accurately identify which type of capacity they are releasing.</w:t>
      </w:r>
    </w:p>
    <w:bookmarkEnd w:id="3"/>
    <w:bookmarkEnd w:id="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MC12019</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5954</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10</cp:revision>
  <cp:lastPrinted>2003-08-14T20:23:00Z</cp:lastPrinted>
  <dcterms:created xsi:type="dcterms:W3CDTF">2011-07-22T14:11:00Z</dcterms:created>
  <dcterms:modified xsi:type="dcterms:W3CDTF">2012-05-30T14:35:00Z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