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outlineLvl w:val="0"/>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w:t>
      </w:r>
      <w:proofErr w:type="spellStart"/>
      <w:r>
        <w:rPr>
          <w:rFonts w:ascii="Tahoma" w:hAnsi="Tahoma" w:cs="Tahoma"/>
          <w:sz w:val="20"/>
          <w:szCs w:val="20"/>
        </w:rPr>
        <w:t>Lavery</w:t>
      </w:r>
      <w:proofErr w:type="spellEnd"/>
      <w:r>
        <w:rPr>
          <w:rFonts w:ascii="Tahoma" w:hAnsi="Tahoma" w:cs="Tahoma"/>
          <w:sz w:val="20"/>
          <w:szCs w:val="20"/>
        </w:rPr>
        <w:t xml:space="preserve">, Jane L </w:t>
      </w:r>
      <w:r>
        <w:rPr>
          <w:rFonts w:ascii="Tahoma" w:hAnsi="Tahoma" w:cs="Tahoma"/>
          <w:sz w:val="20"/>
          <w:szCs w:val="20"/>
        </w:rPr>
        <w:t>- Chevron</w:t>
      </w:r>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Wednesday, September 19, 2012 9:32 AM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Sappenfield, Keith</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FW: Review of NAESB WGQ Contracts Subcommittee's Recommendation with Master Agreement</w:t>
      </w:r>
      <w:r>
        <w:rPr>
          <w:rFonts w:ascii="Tahoma" w:hAnsi="Tahoma" w:cs="Tahoma"/>
          <w:sz w:val="20"/>
          <w:szCs w:val="20"/>
        </w:rPr>
        <w:br/>
      </w:r>
      <w:r>
        <w:rPr>
          <w:rFonts w:ascii="Tahoma" w:hAnsi="Tahoma" w:cs="Tahoma"/>
          <w:b/>
          <w:bCs/>
          <w:sz w:val="20"/>
          <w:szCs w:val="20"/>
        </w:rPr>
        <w:t>Importance:</w:t>
      </w:r>
      <w:r>
        <w:rPr>
          <w:rFonts w:ascii="Tahoma" w:hAnsi="Tahoma" w:cs="Tahoma"/>
          <w:sz w:val="20"/>
          <w:szCs w:val="20"/>
        </w:rPr>
        <w:t xml:space="preserve"> High</w:t>
      </w:r>
    </w:p>
    <w:p/>
    <w:p>
      <w:pPr>
        <w:rPr>
          <w:color w:val="1F497D"/>
        </w:rPr>
      </w:pPr>
      <w:r>
        <w:rPr>
          <w:color w:val="1F497D"/>
        </w:rPr>
        <w:t>Good Morning Keith,</w:t>
      </w:r>
    </w:p>
    <w:p>
      <w:pPr>
        <w:rPr>
          <w:color w:val="1F497D"/>
        </w:rPr>
      </w:pPr>
    </w:p>
    <w:p>
      <w:pPr>
        <w:rPr>
          <w:color w:val="1F497D"/>
        </w:rPr>
      </w:pPr>
      <w:r>
        <w:rPr>
          <w:color w:val="1F497D"/>
        </w:rPr>
        <w:t>Please see my “Approval w/Modifications” for the MAPSELH.</w:t>
      </w:r>
    </w:p>
    <w:p>
      <w:pPr>
        <w:rPr>
          <w:color w:val="1F497D"/>
        </w:rPr>
      </w:pPr>
    </w:p>
    <w:p>
      <w:pPr>
        <w:pStyle w:val="ListParagraph"/>
        <w:ind w:hanging="360"/>
        <w:rPr>
          <w:color w:val="1F497D"/>
        </w:rPr>
      </w:pPr>
      <w:r>
        <w:rPr>
          <w:rFonts w:ascii="Symbol" w:hAnsi="Symbol"/>
          <w:color w:val="1F497D"/>
        </w:rPr>
        <w:t></w:t>
      </w:r>
      <w:r>
        <w:rPr>
          <w:rFonts w:ascii="Times New Roman" w:hAnsi="Times New Roman" w:cs="Times New Roman"/>
          <w:color w:val="1F497D"/>
          <w:sz w:val="14"/>
          <w:szCs w:val="14"/>
        </w:rPr>
        <w:t xml:space="preserve">         </w:t>
      </w:r>
      <w:r>
        <w:rPr>
          <w:color w:val="1F497D"/>
        </w:rPr>
        <w:t>My recommended modifications to the MAPSELH is to remove the following definitions:  (i</w:t>
      </w:r>
      <w:proofErr w:type="gramStart"/>
      <w:r>
        <w:rPr>
          <w:color w:val="1F497D"/>
        </w:rPr>
        <w:t>)  “</w:t>
      </w:r>
      <w:proofErr w:type="gramEnd"/>
      <w:r>
        <w:rPr>
          <w:color w:val="1F497D"/>
        </w:rPr>
        <w:t xml:space="preserve">Firm” (2.27) and  (ii) “Standard” (2.55), as these definitions are not NGL Industry standards and negotiations.   I feel that these 2 definitions will cause confusion and misinterpretation within the NGL Industry.  I certainly understand that it is standard in the Natural Gas Industry that “Firm” transportation and “Interruptible” transportation on the pipeline is a critical part of the negotiations.   I have discussed the definition of “Firm” and “Standard” with my Chevron NGL traders, schedulers and other seasoned NGL traders and schedulers at other companies and they all came to the same conclusion (I have 25 years in NGLs). </w:t>
      </w:r>
    </w:p>
    <w:p>
      <w:pPr>
        <w:pStyle w:val="ListParagraph"/>
        <w:ind w:hanging="360"/>
        <w:rPr>
          <w:color w:val="1F497D"/>
        </w:rPr>
      </w:pPr>
      <w:r>
        <w:rPr>
          <w:rFonts w:ascii="Symbol" w:hAnsi="Symbol"/>
          <w:color w:val="1F497D"/>
        </w:rPr>
        <w:t></w:t>
      </w:r>
      <w:r>
        <w:rPr>
          <w:rFonts w:ascii="Times New Roman" w:hAnsi="Times New Roman" w:cs="Times New Roman"/>
          <w:color w:val="1F497D"/>
          <w:sz w:val="14"/>
          <w:szCs w:val="14"/>
        </w:rPr>
        <w:t xml:space="preserve">         </w:t>
      </w:r>
      <w:r>
        <w:rPr>
          <w:color w:val="1F497D"/>
        </w:rPr>
        <w:t>Chevron has a corporate policy requiring “Conflict of Interest” provision in all contracts.</w:t>
      </w:r>
    </w:p>
    <w:p>
      <w:pPr>
        <w:rPr>
          <w:color w:val="1F497D"/>
        </w:rPr>
      </w:pPr>
    </w:p>
    <w:p>
      <w:pPr>
        <w:rPr>
          <w:color w:val="1F497D"/>
        </w:rPr>
      </w:pPr>
      <w:r>
        <w:rPr>
          <w:color w:val="1F497D"/>
        </w:rPr>
        <w:t>Thank you for all of your time and effort in creating this document.</w:t>
      </w:r>
    </w:p>
    <w:p>
      <w:pPr>
        <w:rPr>
          <w:color w:val="1F497D"/>
        </w:rPr>
      </w:pPr>
    </w:p>
    <w:p>
      <w:pPr>
        <w:rPr>
          <w:color w:val="1F497D"/>
        </w:rPr>
      </w:pPr>
      <w:r>
        <w:rPr>
          <w:color w:val="1F497D"/>
        </w:rPr>
        <w:t xml:space="preserve">If you have any questions or need any additional information, please so </w:t>
      </w:r>
      <w:proofErr w:type="gramStart"/>
      <w:r>
        <w:rPr>
          <w:color w:val="1F497D"/>
        </w:rPr>
        <w:t>advise</w:t>
      </w:r>
      <w:proofErr w:type="gramEnd"/>
      <w:r>
        <w:rPr>
          <w:color w:val="1F497D"/>
        </w:rPr>
        <w:t>.</w:t>
      </w:r>
    </w:p>
    <w:p>
      <w:pPr>
        <w:rPr>
          <w:color w:val="1F497D"/>
        </w:rPr>
      </w:pPr>
    </w:p>
    <w:p>
      <w:pPr>
        <w:rPr>
          <w:color w:val="1F497D"/>
        </w:rPr>
      </w:pPr>
      <w:r>
        <w:rPr>
          <w:color w:val="1F497D"/>
        </w:rPr>
        <w:t>Kind regards,</w:t>
      </w:r>
    </w:p>
    <w:p>
      <w:pPr>
        <w:rPr>
          <w:color w:val="1F497D"/>
        </w:rPr>
      </w:pPr>
    </w:p>
    <w:p>
      <w:pPr>
        <w:rPr>
          <w:rFonts w:ascii="Verdana" w:hAnsi="Verdana"/>
          <w:color w:val="1F497D"/>
          <w:sz w:val="15"/>
          <w:szCs w:val="15"/>
        </w:rPr>
      </w:pPr>
      <w:r>
        <w:rPr>
          <w:rFonts w:ascii="Verdana" w:hAnsi="Verdana"/>
          <w:b/>
          <w:bCs/>
          <w:color w:val="1F497D"/>
          <w:sz w:val="16"/>
          <w:szCs w:val="16"/>
        </w:rPr>
        <w:t xml:space="preserve">Jane </w:t>
      </w:r>
      <w:proofErr w:type="spellStart"/>
      <w:r>
        <w:rPr>
          <w:rFonts w:ascii="Verdana" w:hAnsi="Verdana"/>
          <w:b/>
          <w:bCs/>
          <w:color w:val="1F497D"/>
          <w:sz w:val="16"/>
          <w:szCs w:val="16"/>
        </w:rPr>
        <w:t>Lavery</w:t>
      </w:r>
      <w:proofErr w:type="spellEnd"/>
      <w:r>
        <w:rPr>
          <w:rFonts w:ascii="Verdana" w:hAnsi="Verdana"/>
          <w:b/>
          <w:bCs/>
          <w:color w:val="1F497D"/>
          <w:sz w:val="20"/>
          <w:szCs w:val="20"/>
        </w:rPr>
        <w:t xml:space="preserve"> </w:t>
      </w:r>
      <w:r>
        <w:rPr>
          <w:rFonts w:ascii="Verdana" w:hAnsi="Verdana"/>
          <w:color w:val="1F497D"/>
          <w:sz w:val="16"/>
          <w:szCs w:val="16"/>
        </w:rPr>
        <w:br/>
      </w:r>
      <w:r>
        <w:rPr>
          <w:rFonts w:ascii="Verdana" w:hAnsi="Verdana"/>
          <w:color w:val="1F497D"/>
          <w:sz w:val="15"/>
          <w:szCs w:val="15"/>
        </w:rPr>
        <w:t>LSAT Contract Analyst</w:t>
      </w:r>
    </w:p>
    <w:p>
      <w:pPr>
        <w:rPr>
          <w:rFonts w:ascii="Times New Roman" w:hAnsi="Times New Roman" w:cs="Times New Roman"/>
          <w:color w:val="1F497D"/>
          <w:sz w:val="24"/>
          <w:szCs w:val="24"/>
        </w:rPr>
      </w:pPr>
      <w:r>
        <w:rPr>
          <w:noProof/>
          <w:color w:val="1F497D"/>
        </w:rPr>
        <w:drawing>
          <wp:inline distT="0" distB="0" distL="0" distR="0">
            <wp:extent cx="198120" cy="220980"/>
            <wp:effectExtent l="0" t="0" r="0" b="7620"/>
            <wp:docPr id="1" name="Picture 1" descr="cid:image001.png@01CD964D.D61AA110">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D964D.D61AA11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98120" cy="220980"/>
                    </a:xfrm>
                    <a:prstGeom prst="rect">
                      <a:avLst/>
                    </a:prstGeom>
                    <a:noFill/>
                    <a:ln>
                      <a:noFill/>
                    </a:ln>
                  </pic:spPr>
                </pic:pic>
              </a:graphicData>
            </a:graphic>
          </wp:inline>
        </w:drawing>
      </w:r>
    </w:p>
    <w:p>
      <w:pPr>
        <w:rPr>
          <w:rFonts w:ascii="Verdana" w:hAnsi="Verdana"/>
          <w:b/>
          <w:bCs/>
          <w:color w:val="1F497D"/>
          <w:sz w:val="15"/>
          <w:szCs w:val="15"/>
        </w:rPr>
      </w:pPr>
      <w:r>
        <w:rPr>
          <w:rFonts w:ascii="Verdana" w:hAnsi="Verdana"/>
          <w:b/>
          <w:bCs/>
          <w:color w:val="1F497D"/>
          <w:sz w:val="15"/>
          <w:szCs w:val="15"/>
        </w:rPr>
        <w:t>Chevron Products Company,</w:t>
      </w:r>
    </w:p>
    <w:p>
      <w:pPr>
        <w:rPr>
          <w:rFonts w:ascii="Times New Roman" w:hAnsi="Times New Roman" w:cs="Times New Roman"/>
          <w:color w:val="1F497D"/>
          <w:sz w:val="24"/>
          <w:szCs w:val="24"/>
        </w:rPr>
      </w:pPr>
      <w:r>
        <w:rPr>
          <w:rFonts w:ascii="Verdana" w:hAnsi="Verdana"/>
          <w:b/>
          <w:bCs/>
          <w:color w:val="1F497D"/>
          <w:sz w:val="15"/>
          <w:szCs w:val="15"/>
        </w:rPr>
        <w:t>A Division of Chevron U.S.A. Inc</w:t>
      </w:r>
      <w:proofErr w:type="gramStart"/>
      <w:r>
        <w:rPr>
          <w:rFonts w:ascii="Verdana" w:hAnsi="Verdana"/>
          <w:b/>
          <w:bCs/>
          <w:color w:val="1F497D"/>
          <w:sz w:val="15"/>
          <w:szCs w:val="15"/>
        </w:rPr>
        <w:t>.</w:t>
      </w:r>
      <w:proofErr w:type="gramEnd"/>
      <w:r>
        <w:rPr>
          <w:rFonts w:ascii="Verdana" w:hAnsi="Verdana"/>
          <w:b/>
          <w:bCs/>
          <w:color w:val="1F497D"/>
          <w:sz w:val="15"/>
          <w:szCs w:val="15"/>
        </w:rPr>
        <w:br/>
      </w:r>
      <w:r>
        <w:rPr>
          <w:rFonts w:ascii="Verdana" w:hAnsi="Verdana"/>
          <w:color w:val="1F497D"/>
          <w:sz w:val="15"/>
          <w:szCs w:val="15"/>
        </w:rPr>
        <w:t>1500 Louisiana St., 7</w:t>
      </w:r>
      <w:r>
        <w:rPr>
          <w:rFonts w:ascii="Verdana" w:hAnsi="Verdana"/>
          <w:color w:val="1F497D"/>
          <w:sz w:val="15"/>
          <w:szCs w:val="15"/>
          <w:vertAlign w:val="superscript"/>
        </w:rPr>
        <w:t>th</w:t>
      </w:r>
      <w:r>
        <w:rPr>
          <w:rFonts w:ascii="Verdana" w:hAnsi="Verdana"/>
          <w:color w:val="1F497D"/>
          <w:sz w:val="15"/>
          <w:szCs w:val="15"/>
        </w:rPr>
        <w:t xml:space="preserve"> Floor, Houston, TX 77002 </w:t>
      </w:r>
    </w:p>
    <w:p>
      <w:pPr>
        <w:rPr>
          <w:rFonts w:ascii="Times New Roman" w:hAnsi="Times New Roman" w:cs="Times New Roman"/>
          <w:color w:val="1F497D"/>
          <w:sz w:val="24"/>
          <w:szCs w:val="24"/>
          <w:u w:val="single"/>
        </w:rPr>
      </w:pPr>
      <w:bookmarkStart w:id="0" w:name="_GoBack"/>
      <w:bookmarkEnd w:id="0"/>
    </w:p>
    <w:p>
      <w:pPr>
        <w:rPr>
          <w:color w:val="1F497D"/>
        </w:rPr>
      </w:pPr>
    </w:p>
    <w:p>
      <w:pPr>
        <w:rPr>
          <w:color w:val="1F497D"/>
        </w:rPr>
      </w:pPr>
    </w:p>
    <w:p>
      <w:pPr>
        <w:rPr>
          <w:color w:val="1F497D"/>
        </w:rPr>
      </w:pPr>
    </w:p>
    <w:p>
      <w:pPr>
        <w:rPr>
          <w:color w:val="1F497D"/>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urier New" w:hAnsi="Courier New" w:cs="Courier New"/>
      <w:sz w:val="20"/>
      <w:szCs w:val="20"/>
    </w:rPr>
  </w:style>
  <w:style w:type="paragraph" w:styleId="ListParagraph">
    <w:name w:val="List Paragraph"/>
    <w:basedOn w:val="Normal"/>
    <w:uiPriority w:val="34"/>
    <w:qFormat/>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urier New" w:hAnsi="Courier New" w:cs="Courier New"/>
      <w:sz w:val="20"/>
      <w:szCs w:val="20"/>
    </w:rPr>
  </w:style>
  <w:style w:type="paragraph" w:styleId="ListParagraph">
    <w:name w:val="List Paragraph"/>
    <w:basedOn w:val="Normal"/>
    <w:uiPriority w:val="34"/>
    <w:qFormat/>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0764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cid:image001.png@01CD964D.D61AA11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www.chevron.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216</Words>
  <Characters>1235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Thomason</dc:creator>
  <cp:lastModifiedBy>Veronica Thomason</cp:lastModifiedBy>
  <cp:revision>1</cp:revision>
  <dcterms:created xsi:type="dcterms:W3CDTF">2012-09-25T01:22:00Z</dcterms:created>
  <dcterms:modified xsi:type="dcterms:W3CDTF">2012-09-25T01:24:00Z</dcterms:modified>
</cp:coreProperties>
</file>