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49E" w:rsidRDefault="0062649E"/>
    <w:p w:rsidR="0062649E" w:rsidRDefault="0062649E" w:rsidP="00D56E6B">
      <w:pPr>
        <w:jc w:val="right"/>
        <w:rPr>
          <w:sz w:val="20"/>
          <w:szCs w:val="20"/>
        </w:rPr>
      </w:pPr>
      <w:r>
        <w:rPr>
          <w:sz w:val="20"/>
          <w:szCs w:val="20"/>
        </w:rPr>
        <w:t>Proposed Interpretation for Standard Number: WEQ Standard 001-9.1 and WEQ 001-10.1</w:t>
      </w:r>
    </w:p>
    <w:p w:rsidR="0062649E" w:rsidRPr="00D56E6B" w:rsidRDefault="0062649E" w:rsidP="00D56E6B">
      <w:pPr>
        <w:rPr>
          <w:sz w:val="20"/>
          <w:szCs w:val="20"/>
          <w:u w:val="single"/>
        </w:rPr>
      </w:pPr>
      <w:r w:rsidRPr="00D56E6B">
        <w:rPr>
          <w:sz w:val="20"/>
          <w:szCs w:val="20"/>
          <w:u w:val="single"/>
        </w:rPr>
        <w:t>Clarification or Interpretation Request:</w:t>
      </w:r>
    </w:p>
    <w:p w:rsidR="0062649E" w:rsidRPr="00D56E6B" w:rsidRDefault="0062649E" w:rsidP="00D56E6B">
      <w:pPr>
        <w:spacing w:after="120" w:line="240" w:lineRule="auto"/>
        <w:rPr>
          <w:sz w:val="20"/>
          <w:szCs w:val="20"/>
        </w:rPr>
      </w:pPr>
      <w:r w:rsidRPr="00D56E6B">
        <w:rPr>
          <w:sz w:val="20"/>
          <w:szCs w:val="20"/>
        </w:rPr>
        <w:t xml:space="preserve">One of Duke Energy Carolinas’ customers has expressed an interest in modifying only the source for a long-term firm reservation and wishes to submit a Redirect on a Firm Basis to effect the change.  Duke is unsure whether WEQ 001-9.1 is meant to support such a modification. </w:t>
      </w:r>
    </w:p>
    <w:p w:rsidR="0062649E" w:rsidRPr="00D56E6B" w:rsidRDefault="0062649E" w:rsidP="00D56E6B">
      <w:pPr>
        <w:spacing w:after="120" w:line="240" w:lineRule="auto"/>
        <w:rPr>
          <w:sz w:val="20"/>
          <w:szCs w:val="20"/>
        </w:rPr>
      </w:pPr>
      <w:r w:rsidRPr="00D56E6B">
        <w:rPr>
          <w:sz w:val="20"/>
          <w:szCs w:val="20"/>
        </w:rPr>
        <w:t xml:space="preserve">The wording of WEQ 001-9.1 and WEQ 001-10.1 is vague with respect to the question of whether a request for redirect is valid if only the source or sink is modified. </w:t>
      </w:r>
    </w:p>
    <w:p w:rsidR="0062649E" w:rsidRPr="00D56E6B" w:rsidRDefault="0062649E" w:rsidP="00D56E6B">
      <w:pPr>
        <w:spacing w:after="120" w:line="240" w:lineRule="auto"/>
        <w:rPr>
          <w:sz w:val="20"/>
          <w:szCs w:val="20"/>
        </w:rPr>
      </w:pPr>
    </w:p>
    <w:p w:rsidR="0062649E" w:rsidRPr="00D56E6B" w:rsidRDefault="0062649E" w:rsidP="00D56E6B">
      <w:pPr>
        <w:spacing w:after="120" w:line="240" w:lineRule="auto"/>
        <w:ind w:left="810" w:hanging="720"/>
        <w:rPr>
          <w:i/>
          <w:sz w:val="20"/>
          <w:szCs w:val="20"/>
        </w:rPr>
      </w:pPr>
      <w:r w:rsidRPr="00D56E6B">
        <w:rPr>
          <w:i/>
          <w:sz w:val="20"/>
          <w:szCs w:val="20"/>
        </w:rPr>
        <w:t>001-9.1   The Transmission Customer (TC) shall have the right to request modi</w:t>
      </w:r>
      <w:bookmarkStart w:id="0" w:name="_GoBack"/>
      <w:bookmarkEnd w:id="0"/>
      <w:r w:rsidRPr="00D56E6B">
        <w:rPr>
          <w:i/>
          <w:sz w:val="20"/>
          <w:szCs w:val="20"/>
        </w:rPr>
        <w:t>fications to Points of Receipt and/or Points of Delivery (including source or sink, where required) on a firm basis for a Confirmed Point-to-Point Firm Transmission Service reservation (i.e., Parent Reservation). This will be referred to as a Redirect on a Firm basis.</w:t>
      </w:r>
    </w:p>
    <w:p w:rsidR="0062649E" w:rsidRPr="00D56E6B" w:rsidRDefault="0062649E" w:rsidP="00D56E6B">
      <w:pPr>
        <w:spacing w:after="120" w:line="240" w:lineRule="auto"/>
        <w:ind w:left="720" w:hanging="720"/>
        <w:rPr>
          <w:i/>
          <w:sz w:val="20"/>
          <w:szCs w:val="20"/>
        </w:rPr>
      </w:pPr>
    </w:p>
    <w:p w:rsidR="0062649E" w:rsidRPr="00D56E6B" w:rsidRDefault="0062649E" w:rsidP="00D56E6B">
      <w:pPr>
        <w:spacing w:after="120" w:line="240" w:lineRule="auto"/>
        <w:ind w:left="810" w:hanging="810"/>
        <w:rPr>
          <w:i/>
          <w:sz w:val="20"/>
          <w:szCs w:val="20"/>
        </w:rPr>
      </w:pPr>
      <w:r w:rsidRPr="00D56E6B">
        <w:rPr>
          <w:i/>
          <w:sz w:val="20"/>
          <w:szCs w:val="20"/>
        </w:rPr>
        <w:t>001-10.1   The Transmission Customer (TC) shall have the right to request an alternate, or secondary, Point of Receipt and/or Point of Delivery (including source and sink, if required) on a non-firm basis for a Confirmed Point-to-Point Firm Transmission Service reservation (i.e., Parent Reservation). This will be referred to as a Redirect on a Non-Firm basis.</w:t>
      </w:r>
    </w:p>
    <w:p w:rsidR="0062649E" w:rsidRPr="00D56E6B" w:rsidRDefault="0062649E" w:rsidP="00D56E6B">
      <w:pPr>
        <w:rPr>
          <w:sz w:val="20"/>
          <w:szCs w:val="20"/>
          <w:u w:val="single"/>
        </w:rPr>
      </w:pPr>
      <w:r w:rsidRPr="00D56E6B">
        <w:rPr>
          <w:sz w:val="20"/>
          <w:szCs w:val="20"/>
          <w:u w:val="single"/>
        </w:rPr>
        <w:t>Proposed Interpretation:</w:t>
      </w:r>
    </w:p>
    <w:p w:rsidR="0062649E" w:rsidRPr="00D56E6B" w:rsidRDefault="0062649E" w:rsidP="00D56E6B">
      <w:pPr>
        <w:rPr>
          <w:sz w:val="20"/>
          <w:szCs w:val="20"/>
        </w:rPr>
      </w:pPr>
      <w:r>
        <w:rPr>
          <w:sz w:val="20"/>
          <w:szCs w:val="20"/>
        </w:rPr>
        <w:t>A literal reading of the business practices suggests there is leeway to permit submission of a redirect request which changes a source and/or sink without any requirements to change either the POR or the POD.</w:t>
      </w:r>
    </w:p>
    <w:sectPr w:rsidR="0062649E" w:rsidRPr="00D56E6B" w:rsidSect="00893BE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49E" w:rsidRDefault="0062649E" w:rsidP="00197A63">
      <w:pPr>
        <w:spacing w:after="0" w:line="240" w:lineRule="auto"/>
      </w:pPr>
      <w:r>
        <w:separator/>
      </w:r>
    </w:p>
  </w:endnote>
  <w:endnote w:type="continuationSeparator" w:id="0">
    <w:p w:rsidR="0062649E" w:rsidRDefault="0062649E" w:rsidP="00197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9E" w:rsidRPr="00D56E6B" w:rsidRDefault="0062649E">
    <w:pPr>
      <w:pStyle w:val="Footer"/>
      <w:jc w:val="right"/>
      <w:rPr>
        <w:sz w:val="20"/>
        <w:szCs w:val="20"/>
      </w:rPr>
    </w:pPr>
  </w:p>
  <w:p w:rsidR="0062649E" w:rsidRDefault="0062649E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Recommendation to WEQ Executive Committee for WEQ Interpretation Request C11004</w:t>
    </w:r>
  </w:p>
  <w:p w:rsidR="0062649E" w:rsidRPr="00D56E6B" w:rsidRDefault="0062649E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Adopted by the WEQ Subcommittee – 12/5/2011</w:t>
    </w:r>
  </w:p>
  <w:p w:rsidR="0062649E" w:rsidRPr="00D56E6B" w:rsidRDefault="0062649E">
    <w:pPr>
      <w:pStyle w:val="Footer"/>
      <w:jc w:val="right"/>
      <w:rPr>
        <w:sz w:val="20"/>
        <w:szCs w:val="20"/>
      </w:rPr>
    </w:pPr>
    <w:r w:rsidRPr="00D56E6B">
      <w:rPr>
        <w:sz w:val="20"/>
        <w:szCs w:val="20"/>
      </w:rPr>
      <w:fldChar w:fldCharType="begin"/>
    </w:r>
    <w:r w:rsidRPr="00D56E6B">
      <w:rPr>
        <w:sz w:val="20"/>
        <w:szCs w:val="20"/>
      </w:rPr>
      <w:instrText xml:space="preserve"> PAGE   \* MERGEFORMAT </w:instrText>
    </w:r>
    <w:r w:rsidRPr="00D56E6B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D56E6B">
      <w:rPr>
        <w:sz w:val="20"/>
        <w:szCs w:val="20"/>
      </w:rPr>
      <w:fldChar w:fldCharType="end"/>
    </w:r>
  </w:p>
  <w:p w:rsidR="0062649E" w:rsidRDefault="0062649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49E" w:rsidRDefault="0062649E" w:rsidP="00197A63">
      <w:pPr>
        <w:spacing w:after="0" w:line="240" w:lineRule="auto"/>
      </w:pPr>
      <w:r>
        <w:separator/>
      </w:r>
    </w:p>
  </w:footnote>
  <w:footnote w:type="continuationSeparator" w:id="0">
    <w:p w:rsidR="0062649E" w:rsidRDefault="0062649E" w:rsidP="00197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9E" w:rsidRDefault="0062649E" w:rsidP="00197A63">
    <w:pPr>
      <w:spacing w:after="0" w:line="240" w:lineRule="auto"/>
      <w:jc w:val="center"/>
      <w:rPr>
        <w:b/>
        <w:sz w:val="18"/>
        <w:szCs w:val="1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49" type="#_x0000_t75" alt="blackcopy" style="position:absolute;left:0;text-align:left;margin-left:196.8pt;margin-top:-28.6pt;width:76.3pt;height:117pt;z-index:-251656192;visibility:visible">
          <v:imagedata r:id="rId1" o:title=""/>
        </v:shape>
      </w:pict>
    </w:r>
  </w:p>
  <w:p w:rsidR="0062649E" w:rsidRDefault="0062649E" w:rsidP="00197A63">
    <w:pPr>
      <w:spacing w:after="0" w:line="240" w:lineRule="auto"/>
      <w:jc w:val="center"/>
      <w:rPr>
        <w:b/>
        <w:sz w:val="18"/>
        <w:szCs w:val="18"/>
      </w:rPr>
    </w:pPr>
  </w:p>
  <w:p w:rsidR="0062649E" w:rsidRDefault="0062649E" w:rsidP="00197A63">
    <w:pPr>
      <w:spacing w:after="0" w:line="240" w:lineRule="auto"/>
      <w:jc w:val="center"/>
      <w:rPr>
        <w:b/>
        <w:sz w:val="18"/>
        <w:szCs w:val="18"/>
      </w:rPr>
    </w:pPr>
  </w:p>
  <w:p w:rsidR="0062649E" w:rsidRDefault="0062649E" w:rsidP="00197A63">
    <w:pPr>
      <w:spacing w:after="0" w:line="240" w:lineRule="auto"/>
      <w:jc w:val="center"/>
      <w:rPr>
        <w:b/>
        <w:sz w:val="18"/>
        <w:szCs w:val="18"/>
      </w:rPr>
    </w:pPr>
  </w:p>
  <w:p w:rsidR="0062649E" w:rsidRDefault="0062649E" w:rsidP="00197A63">
    <w:pPr>
      <w:spacing w:after="0" w:line="240" w:lineRule="auto"/>
      <w:jc w:val="center"/>
      <w:rPr>
        <w:b/>
        <w:sz w:val="18"/>
        <w:szCs w:val="18"/>
      </w:rPr>
    </w:pPr>
  </w:p>
  <w:p w:rsidR="0062649E" w:rsidRDefault="0062649E" w:rsidP="00197A63">
    <w:pPr>
      <w:spacing w:after="0" w:line="240" w:lineRule="auto"/>
      <w:jc w:val="center"/>
      <w:rPr>
        <w:b/>
        <w:sz w:val="18"/>
        <w:szCs w:val="18"/>
      </w:rPr>
    </w:pPr>
  </w:p>
  <w:p w:rsidR="0062649E" w:rsidRDefault="0062649E" w:rsidP="00197A63">
    <w:pPr>
      <w:spacing w:after="0" w:line="240" w:lineRule="auto"/>
      <w:jc w:val="center"/>
      <w:rPr>
        <w:b/>
        <w:sz w:val="18"/>
        <w:szCs w:val="18"/>
      </w:rPr>
    </w:pPr>
  </w:p>
  <w:p w:rsidR="0062649E" w:rsidRPr="00582E77" w:rsidRDefault="0062649E" w:rsidP="00197A63">
    <w:pPr>
      <w:spacing w:after="0" w:line="240" w:lineRule="auto"/>
      <w:jc w:val="center"/>
      <w:rPr>
        <w:b/>
        <w:sz w:val="20"/>
        <w:szCs w:val="20"/>
      </w:rPr>
    </w:pPr>
  </w:p>
  <w:p w:rsidR="0062649E" w:rsidRPr="00582E77" w:rsidRDefault="0062649E" w:rsidP="00197A63">
    <w:pPr>
      <w:spacing w:after="0" w:line="240" w:lineRule="auto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WEQ </w:t>
    </w:r>
    <w:r w:rsidRPr="00582E77">
      <w:rPr>
        <w:b/>
        <w:sz w:val="20"/>
        <w:szCs w:val="20"/>
      </w:rPr>
      <w:t>RECOMMENDATION</w:t>
    </w:r>
    <w:r>
      <w:rPr>
        <w:b/>
        <w:sz w:val="20"/>
        <w:szCs w:val="20"/>
      </w:rPr>
      <w:t xml:space="preserve"> FOR C11004</w:t>
    </w:r>
  </w:p>
  <w:p w:rsidR="0062649E" w:rsidRPr="00582E77" w:rsidRDefault="0062649E" w:rsidP="00197A63">
    <w:pPr>
      <w:spacing w:after="0" w:line="240" w:lineRule="auto"/>
      <w:jc w:val="center"/>
      <w:rPr>
        <w:b/>
        <w:sz w:val="20"/>
        <w:szCs w:val="20"/>
      </w:rPr>
    </w:pPr>
    <w:r w:rsidRPr="00582E77">
      <w:rPr>
        <w:b/>
        <w:sz w:val="20"/>
        <w:szCs w:val="20"/>
      </w:rPr>
      <w:t>PRESENTED TO THE WEQ EXECUTIVE COMMITTEE</w:t>
    </w:r>
  </w:p>
  <w:p w:rsidR="0062649E" w:rsidRDefault="0062649E" w:rsidP="00582E77">
    <w:pPr>
      <w:tabs>
        <w:tab w:val="center" w:pos="4680"/>
        <w:tab w:val="right" w:pos="9360"/>
      </w:tabs>
      <w:spacing w:after="0" w:line="240" w:lineRule="auto"/>
      <w:rPr>
        <w:b/>
        <w:sz w:val="18"/>
        <w:szCs w:val="18"/>
      </w:rPr>
    </w:pPr>
    <w:r w:rsidRPr="00582E77">
      <w:rPr>
        <w:b/>
        <w:sz w:val="20"/>
        <w:szCs w:val="20"/>
      </w:rPr>
      <w:tab/>
      <w:t>BY THE WEQ INTERPRETATIONS SUBCOMMITTEE – 12/9/2011</w:t>
    </w:r>
    <w:r>
      <w:rPr>
        <w:b/>
        <w:sz w:val="18"/>
        <w:szCs w:val="18"/>
      </w:rPr>
      <w:tab/>
    </w:r>
  </w:p>
  <w:p w:rsidR="0062649E" w:rsidRPr="00582E77" w:rsidRDefault="0062649E" w:rsidP="00197A63">
    <w:pPr>
      <w:spacing w:after="0" w:line="240" w:lineRule="auto"/>
      <w:jc w:val="center"/>
      <w:rPr>
        <w:b/>
        <w:sz w:val="36"/>
        <w:szCs w:val="36"/>
      </w:rPr>
    </w:pPr>
  </w:p>
  <w:p w:rsidR="0062649E" w:rsidRPr="00197A63" w:rsidRDefault="0062649E" w:rsidP="00197A63">
    <w:pPr>
      <w:spacing w:after="0" w:line="240" w:lineRule="auto"/>
      <w:jc w:val="center"/>
      <w:rPr>
        <w:b/>
        <w:sz w:val="18"/>
        <w:szCs w:val="18"/>
      </w:rPr>
    </w:pPr>
    <w:r w:rsidRPr="00582E77">
      <w:rPr>
        <w:b/>
        <w:sz w:val="36"/>
        <w:szCs w:val="36"/>
      </w:rPr>
      <w:t>C11004</w:t>
    </w:r>
  </w:p>
  <w:p w:rsidR="0062649E" w:rsidRDefault="0062649E">
    <w:pPr>
      <w:pStyle w:val="Header"/>
    </w:pPr>
  </w:p>
  <w:p w:rsidR="0062649E" w:rsidRPr="005E1F39" w:rsidRDefault="0062649E" w:rsidP="005E1F39">
    <w:pPr>
      <w:framePr w:hSpace="180" w:wrap="around" w:vAnchor="text" w:hAnchor="page" w:x="1846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after="0" w:line="240" w:lineRule="auto"/>
      <w:jc w:val="right"/>
      <w:rPr>
        <w:sz w:val="20"/>
        <w:szCs w:val="20"/>
      </w:rPr>
    </w:pPr>
    <w:r w:rsidRPr="005E1F39">
      <w:rPr>
        <w:sz w:val="20"/>
        <w:szCs w:val="20"/>
      </w:rPr>
      <w:t xml:space="preserve">Date:  </w:t>
    </w:r>
    <w:r w:rsidRPr="00582E77">
      <w:rPr>
        <w:sz w:val="20"/>
        <w:szCs w:val="20"/>
      </w:rPr>
      <w:t>12/5/2011</w:t>
    </w:r>
    <w:r w:rsidRPr="005E1F39">
      <w:rPr>
        <w:sz w:val="20"/>
        <w:szCs w:val="20"/>
      </w:rPr>
      <w:t xml:space="preserve"> </w:t>
    </w:r>
  </w:p>
  <w:p w:rsidR="0062649E" w:rsidRPr="005E1F39" w:rsidRDefault="0062649E" w:rsidP="005E1F39">
    <w:pPr>
      <w:framePr w:hSpace="180" w:wrap="around" w:vAnchor="text" w:hAnchor="page" w:x="1846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  <w:rPr>
        <w:sz w:val="20"/>
        <w:szCs w:val="20"/>
      </w:rPr>
    </w:pPr>
    <w:r w:rsidRPr="005E1F39">
      <w:rPr>
        <w:sz w:val="20"/>
        <w:szCs w:val="20"/>
      </w:rPr>
      <w:t xml:space="preserve">Requester Name:  </w:t>
    </w:r>
    <w:r w:rsidRPr="005E1F39">
      <w:rPr>
        <w:sz w:val="20"/>
        <w:szCs w:val="20"/>
      </w:rPr>
      <w:tab/>
    </w:r>
    <w:r w:rsidRPr="00582E77">
      <w:rPr>
        <w:sz w:val="20"/>
        <w:szCs w:val="20"/>
      </w:rPr>
      <w:t>Alan Pritchard</w:t>
    </w:r>
  </w:p>
  <w:p w:rsidR="0062649E" w:rsidRPr="005E1F39" w:rsidRDefault="0062649E" w:rsidP="005E1F39">
    <w:pPr>
      <w:framePr w:hSpace="180" w:wrap="around" w:vAnchor="text" w:hAnchor="page" w:x="1846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  <w:rPr>
        <w:sz w:val="20"/>
        <w:szCs w:val="20"/>
      </w:rPr>
    </w:pPr>
    <w:r w:rsidRPr="005E1F39">
      <w:rPr>
        <w:sz w:val="20"/>
        <w:szCs w:val="20"/>
      </w:rPr>
      <w:t xml:space="preserve">Company: </w:t>
    </w:r>
    <w:r w:rsidRPr="005E1F39">
      <w:rPr>
        <w:sz w:val="20"/>
        <w:szCs w:val="20"/>
      </w:rPr>
      <w:tab/>
    </w:r>
    <w:r w:rsidRPr="005E1F39">
      <w:rPr>
        <w:sz w:val="20"/>
        <w:szCs w:val="20"/>
      </w:rPr>
      <w:tab/>
    </w:r>
    <w:r w:rsidRPr="00582E77">
      <w:rPr>
        <w:sz w:val="20"/>
        <w:szCs w:val="20"/>
      </w:rPr>
      <w:t>Duke Energy</w:t>
    </w:r>
  </w:p>
  <w:p w:rsidR="0062649E" w:rsidRPr="005E1F39" w:rsidRDefault="0062649E" w:rsidP="005E1F39">
    <w:pPr>
      <w:framePr w:hSpace="180" w:wrap="around" w:vAnchor="text" w:hAnchor="page" w:x="1846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20" w:line="240" w:lineRule="auto"/>
      <w:rPr>
        <w:sz w:val="20"/>
        <w:szCs w:val="20"/>
      </w:rPr>
    </w:pPr>
    <w:r w:rsidRPr="005E1F39">
      <w:rPr>
        <w:sz w:val="20"/>
        <w:szCs w:val="20"/>
      </w:rPr>
      <w:t>Phone</w:t>
    </w:r>
    <w:r w:rsidRPr="00582E77">
      <w:rPr>
        <w:sz w:val="20"/>
        <w:szCs w:val="20"/>
      </w:rPr>
      <w:t>:</w:t>
    </w:r>
    <w:r w:rsidRPr="00582E77">
      <w:rPr>
        <w:sz w:val="20"/>
        <w:szCs w:val="20"/>
      </w:rPr>
      <w:tab/>
    </w:r>
    <w:r w:rsidRPr="00582E77">
      <w:rPr>
        <w:sz w:val="20"/>
        <w:szCs w:val="20"/>
      </w:rPr>
      <w:tab/>
    </w:r>
    <w:r w:rsidRPr="005E1F39">
      <w:rPr>
        <w:sz w:val="20"/>
        <w:szCs w:val="20"/>
      </w:rPr>
      <w:t xml:space="preserve"> </w:t>
    </w:r>
    <w:r w:rsidRPr="005E1F39">
      <w:rPr>
        <w:sz w:val="20"/>
        <w:szCs w:val="20"/>
      </w:rPr>
      <w:tab/>
    </w:r>
    <w:r w:rsidRPr="00582E77">
      <w:rPr>
        <w:sz w:val="20"/>
        <w:szCs w:val="20"/>
      </w:rPr>
      <w:t>704-382-7463</w:t>
    </w:r>
    <w:r w:rsidRPr="00582E77">
      <w:rPr>
        <w:sz w:val="20"/>
        <w:szCs w:val="20"/>
      </w:rPr>
      <w:tab/>
    </w:r>
    <w:r w:rsidRPr="00582E77">
      <w:rPr>
        <w:sz w:val="20"/>
        <w:szCs w:val="20"/>
      </w:rPr>
      <w:tab/>
    </w:r>
    <w:r w:rsidRPr="00582E77">
      <w:rPr>
        <w:sz w:val="20"/>
        <w:szCs w:val="20"/>
      </w:rPr>
      <w:tab/>
    </w:r>
    <w:r w:rsidRPr="00582E77">
      <w:rPr>
        <w:sz w:val="20"/>
        <w:szCs w:val="20"/>
      </w:rPr>
      <w:tab/>
    </w:r>
    <w:r w:rsidRPr="00582E77">
      <w:rPr>
        <w:sz w:val="20"/>
        <w:szCs w:val="20"/>
      </w:rPr>
      <w:tab/>
    </w:r>
    <w:r w:rsidRPr="00582E77">
      <w:rPr>
        <w:sz w:val="20"/>
        <w:szCs w:val="20"/>
      </w:rPr>
      <w:tab/>
    </w:r>
    <w:r w:rsidRPr="00582E77">
      <w:rPr>
        <w:sz w:val="20"/>
        <w:szCs w:val="20"/>
      </w:rPr>
      <w:tab/>
    </w:r>
    <w:r w:rsidRPr="00582E77">
      <w:rPr>
        <w:sz w:val="20"/>
        <w:szCs w:val="20"/>
      </w:rPr>
      <w:tab/>
      <w:t xml:space="preserve">                 Fax:</w:t>
    </w:r>
    <w:r w:rsidRPr="00582E77">
      <w:rPr>
        <w:sz w:val="20"/>
        <w:szCs w:val="20"/>
      </w:rPr>
      <w:tab/>
    </w:r>
    <w:r w:rsidRPr="00582E77">
      <w:rPr>
        <w:sz w:val="20"/>
        <w:szCs w:val="20"/>
      </w:rPr>
      <w:tab/>
    </w:r>
    <w:r w:rsidRPr="00582E77">
      <w:rPr>
        <w:sz w:val="20"/>
        <w:szCs w:val="20"/>
      </w:rPr>
      <w:tab/>
      <w:t>704-382-0850                                                                                                                                        Email:</w:t>
    </w:r>
    <w:r w:rsidRPr="00582E77">
      <w:rPr>
        <w:sz w:val="20"/>
        <w:szCs w:val="20"/>
      </w:rPr>
      <w:tab/>
    </w:r>
    <w:r w:rsidRPr="00582E77">
      <w:rPr>
        <w:sz w:val="20"/>
        <w:szCs w:val="20"/>
      </w:rPr>
      <w:tab/>
    </w:r>
    <w:r w:rsidRPr="00582E77">
      <w:rPr>
        <w:sz w:val="20"/>
        <w:szCs w:val="20"/>
      </w:rPr>
      <w:tab/>
      <w:t>alan.pritchard@duke-energy.com</w:t>
    </w:r>
  </w:p>
  <w:p w:rsidR="0062649E" w:rsidRDefault="0062649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7A63"/>
    <w:rsid w:val="00197A63"/>
    <w:rsid w:val="003051D6"/>
    <w:rsid w:val="00582E77"/>
    <w:rsid w:val="005E1F39"/>
    <w:rsid w:val="00610FE0"/>
    <w:rsid w:val="0062649E"/>
    <w:rsid w:val="00893BEE"/>
    <w:rsid w:val="009068D3"/>
    <w:rsid w:val="009D4183"/>
    <w:rsid w:val="00D056F3"/>
    <w:rsid w:val="00D56E6B"/>
    <w:rsid w:val="00E021D0"/>
    <w:rsid w:val="00FB1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BEE"/>
    <w:pPr>
      <w:spacing w:after="200" w:line="276" w:lineRule="auto"/>
    </w:pPr>
    <w:rPr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7A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97A6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97A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97A6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97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97A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225</Words>
  <Characters>1286</Characters>
  <Application>Microsoft Office Outlook</Application>
  <DocSecurity>0</DocSecurity>
  <Lines>0</Lines>
  <Paragraphs>0</Paragraphs>
  <ScaleCrop>false</ScaleCrop>
  <Company>naesb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Interpretation for Standard Number: WEQ Standard 001-9</dc:title>
  <dc:subject/>
  <dc:creator>naesb</dc:creator>
  <cp:keywords/>
  <dc:description/>
  <cp:lastModifiedBy>Denise Rager</cp:lastModifiedBy>
  <cp:revision>2</cp:revision>
  <dcterms:created xsi:type="dcterms:W3CDTF">2011-12-12T20:16:00Z</dcterms:created>
  <dcterms:modified xsi:type="dcterms:W3CDTF">2011-12-12T20:16:00Z</dcterms:modified>
</cp:coreProperties>
</file>