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4A2" w:rsidRPr="009E07F2" w:rsidRDefault="006D74A2"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6D74A2" w:rsidRPr="009E07F2" w:rsidTr="006B3298">
        <w:tc>
          <w:tcPr>
            <w:tcW w:w="810" w:type="dxa"/>
            <w:tcBorders>
              <w:bottom w:val="single" w:sz="4" w:space="0" w:color="auto"/>
            </w:tcBorders>
          </w:tcPr>
          <w:p w:rsidR="006D74A2" w:rsidRPr="009E07F2" w:rsidRDefault="006D74A2" w:rsidP="00C849B1">
            <w:pPr>
              <w:pStyle w:val="DefaultText"/>
              <w:jc w:val="center"/>
              <w:rPr>
                <w:rFonts w:ascii="Arial" w:hAnsi="Arial" w:cs="Arial"/>
                <w:sz w:val="20"/>
              </w:rPr>
            </w:pPr>
            <w:r>
              <w:rPr>
                <w:rFonts w:ascii="Arial" w:hAnsi="Arial" w:cs="Arial"/>
                <w:sz w:val="20"/>
              </w:rPr>
              <w:t>x</w:t>
            </w: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6D74A2" w:rsidRPr="009E07F2" w:rsidRDefault="006D74A2" w:rsidP="00C849B1">
            <w:pPr>
              <w:pStyle w:val="DefaultText"/>
              <w:jc w:val="center"/>
              <w:rPr>
                <w:rFonts w:ascii="Arial" w:hAnsi="Arial" w:cs="Arial"/>
                <w:sz w:val="20"/>
              </w:rPr>
            </w:pPr>
            <w:r>
              <w:rPr>
                <w:rFonts w:ascii="Arial" w:hAnsi="Arial" w:cs="Arial"/>
                <w:sz w:val="20"/>
              </w:rPr>
              <w:t>x</w:t>
            </w: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Change to Existing Practice</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Status Quo</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6D74A2" w:rsidRPr="009E07F2" w:rsidRDefault="006D74A2" w:rsidP="006B3298">
            <w:pPr>
              <w:pStyle w:val="DefaultText"/>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p>
        </w:tc>
      </w:tr>
    </w:tbl>
    <w:p w:rsidR="006D74A2" w:rsidRPr="009E07F2" w:rsidRDefault="006D74A2"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6D74A2" w:rsidRPr="009E07F2" w:rsidTr="006B3298">
        <w:tc>
          <w:tcPr>
            <w:tcW w:w="4770" w:type="dxa"/>
            <w:gridSpan w:val="2"/>
          </w:tcPr>
          <w:p w:rsidR="006D74A2" w:rsidRPr="009E07F2" w:rsidRDefault="006D74A2"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6D74A2" w:rsidRPr="009E07F2" w:rsidRDefault="006D74A2" w:rsidP="006B3298">
            <w:pPr>
              <w:pStyle w:val="DefaultText"/>
              <w:rPr>
                <w:rFonts w:ascii="Arial" w:hAnsi="Arial" w:cs="Arial"/>
                <w:b/>
                <w:sz w:val="20"/>
              </w:rPr>
            </w:pPr>
            <w:r w:rsidRPr="009E07F2">
              <w:rPr>
                <w:rFonts w:ascii="Arial" w:hAnsi="Arial" w:cs="Arial"/>
                <w:b/>
                <w:sz w:val="20"/>
              </w:rPr>
              <w:t>Per Recommendation:</w:t>
            </w:r>
          </w:p>
        </w:tc>
      </w:tr>
      <w:tr w:rsidR="006D74A2" w:rsidRPr="009E07F2" w:rsidTr="006B3298">
        <w:tc>
          <w:tcPr>
            <w:tcW w:w="810" w:type="dxa"/>
            <w:tcBorders>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Initiation</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r>
              <w:rPr>
                <w:rFonts w:ascii="Arial" w:hAnsi="Arial" w:cs="Arial"/>
                <w:sz w:val="20"/>
              </w:rPr>
              <w:t>x</w:t>
            </w: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r>
              <w:rPr>
                <w:rFonts w:ascii="Arial" w:hAnsi="Arial" w:cs="Arial"/>
                <w:sz w:val="20"/>
              </w:rPr>
              <w:t xml:space="preserve"> x </w:t>
            </w: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Modification</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Interpretation</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Withdrawal</w:t>
            </w:r>
          </w:p>
        </w:tc>
      </w:tr>
      <w:tr w:rsidR="006D74A2" w:rsidRPr="009E07F2" w:rsidTr="006B3298">
        <w:tc>
          <w:tcPr>
            <w:tcW w:w="810" w:type="dxa"/>
            <w:tcBorders>
              <w:top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p>
        </w:tc>
        <w:tc>
          <w:tcPr>
            <w:tcW w:w="810" w:type="dxa"/>
            <w:tcBorders>
              <w:top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p>
        </w:tc>
      </w:tr>
      <w:tr w:rsidR="006D74A2" w:rsidRPr="009E07F2" w:rsidTr="006B3298">
        <w:tc>
          <w:tcPr>
            <w:tcW w:w="810" w:type="dxa"/>
            <w:tcBorders>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Principle</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Definition</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Business Practice Standard</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r>
              <w:rPr>
                <w:rFonts w:ascii="Arial" w:hAnsi="Arial" w:cs="Arial"/>
                <w:sz w:val="20"/>
              </w:rPr>
              <w:t>x</w:t>
            </w: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r>
              <w:rPr>
                <w:rFonts w:ascii="Arial" w:hAnsi="Arial" w:cs="Arial"/>
                <w:sz w:val="20"/>
              </w:rPr>
              <w:t>x</w:t>
            </w: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Document</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Data Element</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Code Value</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X12 Implementation Guide</w:t>
            </w:r>
          </w:p>
        </w:tc>
      </w:tr>
      <w:tr w:rsidR="006D74A2" w:rsidRPr="009E07F2" w:rsidTr="006B3298">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960" w:type="dxa"/>
          </w:tcPr>
          <w:p w:rsidR="006D74A2" w:rsidRPr="009E07F2" w:rsidRDefault="006D74A2"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6D74A2" w:rsidRPr="009E07F2" w:rsidRDefault="006D74A2" w:rsidP="00C849B1">
            <w:pPr>
              <w:pStyle w:val="DefaultText"/>
              <w:jc w:val="center"/>
              <w:rPr>
                <w:rFonts w:ascii="Arial" w:hAnsi="Arial" w:cs="Arial"/>
                <w:sz w:val="20"/>
              </w:rPr>
            </w:pPr>
          </w:p>
        </w:tc>
        <w:tc>
          <w:tcPr>
            <w:tcW w:w="3690" w:type="dxa"/>
          </w:tcPr>
          <w:p w:rsidR="006D74A2" w:rsidRPr="009E07F2" w:rsidRDefault="006D74A2" w:rsidP="006B3298">
            <w:pPr>
              <w:pStyle w:val="DefaultText"/>
              <w:rPr>
                <w:rFonts w:ascii="Arial" w:hAnsi="Arial" w:cs="Arial"/>
                <w:sz w:val="20"/>
              </w:rPr>
            </w:pPr>
            <w:r w:rsidRPr="009E07F2">
              <w:rPr>
                <w:rFonts w:ascii="Arial" w:hAnsi="Arial" w:cs="Arial"/>
                <w:sz w:val="20"/>
              </w:rPr>
              <w:t>Business Process Documentation</w:t>
            </w:r>
          </w:p>
        </w:tc>
      </w:tr>
    </w:tbl>
    <w:p w:rsidR="006D74A2" w:rsidRPr="009E07F2" w:rsidRDefault="006D74A2" w:rsidP="00B02A52">
      <w:pPr>
        <w:pStyle w:val="DefaultText"/>
        <w:tabs>
          <w:tab w:val="left" w:pos="2800"/>
        </w:tabs>
        <w:spacing w:before="120"/>
        <w:rPr>
          <w:rFonts w:ascii="Arial" w:hAnsi="Arial" w:cs="Arial"/>
          <w:sz w:val="20"/>
        </w:rPr>
      </w:pPr>
      <w:r>
        <w:rPr>
          <w:rFonts w:ascii="Arial" w:hAnsi="Arial" w:cs="Arial"/>
          <w:sz w:val="20"/>
        </w:rPr>
        <w:tab/>
      </w:r>
    </w:p>
    <w:p w:rsidR="006D74A2" w:rsidRPr="00BF4AAD" w:rsidRDefault="006D74A2" w:rsidP="00A506CF">
      <w:pPr>
        <w:pStyle w:val="DefaultText"/>
        <w:spacing w:before="120"/>
        <w:rPr>
          <w:rFonts w:ascii="Arial" w:hAnsi="Arial" w:cs="Arial"/>
          <w:b/>
          <w:sz w:val="22"/>
        </w:rPr>
      </w:pPr>
      <w:r w:rsidRPr="009E07F2">
        <w:rPr>
          <w:rFonts w:ascii="Arial" w:hAnsi="Arial" w:cs="Arial"/>
          <w:b/>
          <w:sz w:val="22"/>
        </w:rPr>
        <w:t>3.  RECOMMENDATION</w:t>
      </w:r>
    </w:p>
    <w:p w:rsidR="006D74A2" w:rsidRPr="00517447" w:rsidRDefault="006D74A2" w:rsidP="00517447">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6D74A2" w:rsidRDefault="006D74A2" w:rsidP="00A60F7F">
      <w:pPr>
        <w:pStyle w:val="DefaultText"/>
        <w:spacing w:before="120"/>
        <w:rPr>
          <w:rFonts w:ascii="Arial" w:hAnsi="Arial" w:cs="Arial"/>
          <w:sz w:val="22"/>
        </w:rPr>
      </w:pPr>
      <w:r>
        <w:rPr>
          <w:rFonts w:ascii="Arial" w:hAnsi="Arial" w:cs="Arial"/>
          <w:sz w:val="22"/>
        </w:rPr>
        <w:t xml:space="preserve">This Recommendation incorporates changes made to the </w:t>
      </w:r>
      <w:r w:rsidRPr="00713D51">
        <w:rPr>
          <w:rFonts w:ascii="Arial" w:hAnsi="Arial" w:cs="Arial"/>
          <w:sz w:val="22"/>
        </w:rPr>
        <w:t xml:space="preserve">NAESB Accreditation Requirements for Authorized Certification Authorities </w:t>
      </w:r>
      <w:r>
        <w:rPr>
          <w:rFonts w:ascii="Arial" w:hAnsi="Arial" w:cs="Arial"/>
          <w:sz w:val="22"/>
        </w:rPr>
        <w:t>(specification) document</w:t>
      </w:r>
      <w:r w:rsidRPr="00713D51">
        <w:rPr>
          <w:rFonts w:ascii="Arial" w:hAnsi="Arial" w:cs="Arial"/>
          <w:sz w:val="22"/>
        </w:rPr>
        <w:t xml:space="preserve"> </w:t>
      </w:r>
      <w:r>
        <w:rPr>
          <w:rFonts w:ascii="Arial" w:hAnsi="Arial" w:cs="Arial"/>
          <w:sz w:val="22"/>
        </w:rPr>
        <w:t>as recommended by the Board Critical Infrastructure Committee based on the findings reported by Sandia National Laboratories as part of their surety assessment.  In addition, the Cyber Security Subcommittee updated references in the document to incorporate the most current versions of any referenced external documentation, best practices, or industry specifications.</w:t>
      </w:r>
    </w:p>
    <w:p w:rsidR="006D74A2" w:rsidRDefault="006D74A2" w:rsidP="00A60F7F">
      <w:pPr>
        <w:pStyle w:val="DefaultText"/>
        <w:spacing w:before="120"/>
        <w:rPr>
          <w:rFonts w:ascii="Arial" w:hAnsi="Arial" w:cs="Arial"/>
          <w:sz w:val="22"/>
        </w:rPr>
      </w:pPr>
      <w:r>
        <w:rPr>
          <w:rFonts w:ascii="Arial" w:hAnsi="Arial" w:cs="Arial"/>
          <w:sz w:val="22"/>
        </w:rPr>
        <w:t xml:space="preserve">An updated </w:t>
      </w:r>
      <w:r w:rsidRPr="00713D51">
        <w:rPr>
          <w:rFonts w:ascii="Arial" w:hAnsi="Arial" w:cs="Arial"/>
          <w:sz w:val="22"/>
        </w:rPr>
        <w:t xml:space="preserve">NAESB Accreditation Requirements for Authorized Certification Authorities </w:t>
      </w:r>
      <w:r>
        <w:rPr>
          <w:rFonts w:ascii="Arial" w:hAnsi="Arial" w:cs="Arial"/>
          <w:sz w:val="22"/>
        </w:rPr>
        <w:t xml:space="preserve">(specification) document is attached to this recommendation and includes the changes referenced below.  </w:t>
      </w:r>
    </w:p>
    <w:p w:rsidR="006D74A2" w:rsidRDefault="006D74A2">
      <w:pPr>
        <w:rPr>
          <w:rFonts w:ascii="Arial" w:hAnsi="Arial" w:cs="Arial"/>
          <w:b/>
          <w:caps/>
          <w:sz w:val="22"/>
        </w:rPr>
      </w:pPr>
    </w:p>
    <w:p w:rsidR="00BF4AAD" w:rsidRDefault="00BF4AAD" w:rsidP="009B3780">
      <w:pPr>
        <w:pStyle w:val="DefaultText"/>
        <w:keepNext/>
        <w:keepLines/>
        <w:widowControl w:val="0"/>
        <w:spacing w:before="120"/>
        <w:ind w:firstLine="720"/>
        <w:rPr>
          <w:rFonts w:ascii="Arial" w:hAnsi="Arial" w:cs="Arial"/>
          <w:b/>
          <w:sz w:val="22"/>
        </w:rPr>
      </w:pPr>
      <w:r>
        <w:rPr>
          <w:rFonts w:ascii="Arial" w:hAnsi="Arial" w:cs="Arial"/>
          <w:b/>
          <w:caps/>
          <w:sz w:val="22"/>
        </w:rPr>
        <w:lastRenderedPageBreak/>
        <w:t>Recommended Standards</w:t>
      </w:r>
      <w:r>
        <w:rPr>
          <w:rFonts w:ascii="Arial" w:hAnsi="Arial" w:cs="Arial"/>
          <w:b/>
          <w:sz w:val="22"/>
        </w:rPr>
        <w:t>:</w:t>
      </w:r>
    </w:p>
    <w:p w:rsidR="00BF4AAD" w:rsidRPr="00BF4AAD" w:rsidRDefault="00BF4AAD" w:rsidP="009B3780">
      <w:pPr>
        <w:keepNext/>
        <w:keepLines/>
        <w:widowControl w:val="0"/>
        <w:rPr>
          <w:rFonts w:ascii="Arial" w:hAnsi="Arial" w:cs="Arial"/>
          <w:bCs/>
          <w:sz w:val="22"/>
          <w:szCs w:val="22"/>
        </w:rPr>
      </w:pPr>
      <w:r>
        <w:rPr>
          <w:rFonts w:ascii="Arial" w:hAnsi="Arial" w:cs="Arial"/>
          <w:bCs/>
          <w:sz w:val="22"/>
        </w:rPr>
        <w:t xml:space="preserve">Proposed modifications to the NAESB Accreditation Requirements for Authorized Certification Authorities: </w:t>
      </w:r>
      <w:hyperlink r:id="rId7" w:history="1">
        <w:r w:rsidRPr="00BF4AAD">
          <w:rPr>
            <w:rStyle w:val="Hyperlink"/>
            <w:rFonts w:ascii="Arial" w:hAnsi="Arial" w:cs="Arial"/>
            <w:sz w:val="22"/>
            <w:szCs w:val="22"/>
          </w:rPr>
          <w:t>https://www.naesb.org/member_login_check.asp?doc=weq_2019_api_6bi_rec_attachment.docx</w:t>
        </w:r>
      </w:hyperlink>
    </w:p>
    <w:p w:rsidR="009B3780" w:rsidRDefault="009B3780" w:rsidP="009B3780">
      <w:pPr>
        <w:pStyle w:val="DefaultText"/>
        <w:widowControl w:val="0"/>
        <w:spacing w:before="120"/>
        <w:rPr>
          <w:rFonts w:ascii="Arial" w:hAnsi="Arial" w:cs="Arial"/>
          <w:b/>
          <w:sz w:val="22"/>
        </w:rPr>
      </w:pPr>
    </w:p>
    <w:p w:rsidR="006D74A2" w:rsidRPr="009E07F2" w:rsidRDefault="006D74A2" w:rsidP="009B3780">
      <w:pPr>
        <w:pStyle w:val="DefaultText"/>
        <w:widowControl w:val="0"/>
        <w:tabs>
          <w:tab w:val="center" w:pos="5033"/>
        </w:tabs>
        <w:spacing w:before="120"/>
        <w:rPr>
          <w:rFonts w:ascii="Arial" w:hAnsi="Arial" w:cs="Arial"/>
          <w:sz w:val="20"/>
        </w:rPr>
      </w:pPr>
      <w:r w:rsidRPr="009E07F2">
        <w:rPr>
          <w:rFonts w:ascii="Arial" w:hAnsi="Arial" w:cs="Arial"/>
          <w:b/>
          <w:sz w:val="22"/>
        </w:rPr>
        <w:t>4.  SUPPORTING DOCUMENTATION</w:t>
      </w:r>
      <w:r w:rsidR="009B3780">
        <w:rPr>
          <w:rFonts w:ascii="Arial" w:hAnsi="Arial" w:cs="Arial"/>
          <w:b/>
          <w:sz w:val="22"/>
        </w:rPr>
        <w:tab/>
      </w:r>
    </w:p>
    <w:p w:rsidR="006D74A2" w:rsidRPr="009E07F2" w:rsidRDefault="006D74A2" w:rsidP="009B3780">
      <w:pPr>
        <w:widowControl w:val="0"/>
        <w:tabs>
          <w:tab w:val="left" w:pos="1080"/>
          <w:tab w:val="left" w:pos="8178"/>
        </w:tabs>
        <w:spacing w:before="120"/>
        <w:ind w:firstLine="720"/>
        <w:rPr>
          <w:rFonts w:ascii="Arial" w:hAnsi="Arial" w:cs="Arial"/>
          <w:b/>
        </w:rPr>
      </w:pPr>
      <w:r>
        <w:rPr>
          <w:rFonts w:ascii="Arial" w:hAnsi="Arial" w:cs="Arial"/>
          <w:b/>
        </w:rPr>
        <w:t>a.</w:t>
      </w:r>
      <w:r>
        <w:rPr>
          <w:rFonts w:ascii="Arial" w:hAnsi="Arial" w:cs="Arial"/>
          <w:b/>
        </w:rPr>
        <w:tab/>
      </w:r>
      <w:r w:rsidRPr="009E07F2">
        <w:rPr>
          <w:rFonts w:ascii="Arial" w:hAnsi="Arial" w:cs="Arial"/>
          <w:b/>
        </w:rPr>
        <w:t>Description of Request:</w:t>
      </w:r>
      <w:r>
        <w:rPr>
          <w:rFonts w:ascii="Arial" w:hAnsi="Arial" w:cs="Arial"/>
          <w:b/>
        </w:rPr>
        <w:tab/>
      </w:r>
    </w:p>
    <w:p w:rsidR="006D74A2" w:rsidRDefault="006D74A2" w:rsidP="009B3780">
      <w:pPr>
        <w:widowControl w:val="0"/>
        <w:autoSpaceDE w:val="0"/>
        <w:autoSpaceDN w:val="0"/>
        <w:adjustRightInd w:val="0"/>
        <w:spacing w:before="120"/>
        <w:rPr>
          <w:rFonts w:ascii="Arial" w:hAnsi="Arial" w:cs="Arial"/>
        </w:rPr>
      </w:pPr>
      <w:r>
        <w:rPr>
          <w:rFonts w:ascii="Arial" w:hAnsi="Arial" w:cs="Arial"/>
        </w:rPr>
        <w:t>The full text of the request of 2019 Annual Plan for the Wholesale Electric Quadrant (WEQ):</w:t>
      </w:r>
    </w:p>
    <w:p w:rsidR="006D74A2" w:rsidRDefault="006D74A2" w:rsidP="009B37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60"/>
        <w:gridCol w:w="432"/>
        <w:gridCol w:w="5685"/>
        <w:gridCol w:w="1170"/>
        <w:gridCol w:w="1622"/>
      </w:tblGrid>
      <w:tr w:rsidR="006D74A2" w:rsidRPr="00FC4DFD" w:rsidTr="00644DCC">
        <w:tc>
          <w:tcPr>
            <w:tcW w:w="361" w:type="dxa"/>
          </w:tcPr>
          <w:p w:rsidR="006D74A2" w:rsidRPr="00FC4DFD" w:rsidRDefault="006D74A2" w:rsidP="009B3780">
            <w:pPr>
              <w:pStyle w:val="TableText"/>
              <w:widowControl w:val="0"/>
              <w:spacing w:before="40" w:after="40"/>
              <w:ind w:left="144"/>
              <w:rPr>
                <w:rFonts w:ascii="Arial" w:hAnsi="Arial" w:cs="Arial"/>
                <w:b/>
                <w:sz w:val="20"/>
              </w:rPr>
            </w:pPr>
            <w:r w:rsidRPr="00FC4DFD">
              <w:rPr>
                <w:rFonts w:ascii="Arial" w:hAnsi="Arial" w:cs="Arial"/>
                <w:b/>
                <w:sz w:val="20"/>
              </w:rPr>
              <w:t>6.</w:t>
            </w:r>
          </w:p>
        </w:tc>
        <w:tc>
          <w:tcPr>
            <w:tcW w:w="9269" w:type="dxa"/>
            <w:gridSpan w:val="5"/>
          </w:tcPr>
          <w:p w:rsidR="006D74A2" w:rsidRPr="00FC4DFD" w:rsidRDefault="006D74A2" w:rsidP="009B3780">
            <w:pPr>
              <w:pStyle w:val="TableText"/>
              <w:widowControl w:val="0"/>
              <w:spacing w:before="40" w:after="40"/>
              <w:ind w:left="144"/>
              <w:rPr>
                <w:rFonts w:ascii="Arial" w:hAnsi="Arial" w:cs="Arial"/>
                <w:b/>
                <w:sz w:val="20"/>
              </w:rPr>
            </w:pPr>
            <w:r w:rsidRPr="00FC4DFD">
              <w:rPr>
                <w:b/>
                <w:sz w:val="20"/>
              </w:rPr>
              <w:t>Develop and/or modify the NAESB Business Practice Standards if needed to address any recommendations resulting from the surety assessment performed by Sandia National Laboratories</w:t>
            </w:r>
          </w:p>
        </w:tc>
      </w:tr>
      <w:tr w:rsidR="006D74A2" w:rsidRPr="00FC4DFD" w:rsidTr="00644DCC">
        <w:tc>
          <w:tcPr>
            <w:tcW w:w="361" w:type="dxa"/>
          </w:tcPr>
          <w:p w:rsidR="006D74A2" w:rsidRPr="00FC4DFD" w:rsidRDefault="006D74A2" w:rsidP="009B3780">
            <w:pPr>
              <w:pStyle w:val="TableText"/>
              <w:widowControl w:val="0"/>
              <w:spacing w:before="40" w:after="40"/>
              <w:ind w:left="144"/>
              <w:rPr>
                <w:rFonts w:ascii="Arial" w:hAnsi="Arial" w:cs="Arial"/>
                <w:sz w:val="20"/>
              </w:rPr>
            </w:pPr>
          </w:p>
        </w:tc>
        <w:tc>
          <w:tcPr>
            <w:tcW w:w="360" w:type="dxa"/>
          </w:tcPr>
          <w:p w:rsidR="006D74A2" w:rsidRPr="0099647B" w:rsidRDefault="006D74A2" w:rsidP="009B3780">
            <w:pPr>
              <w:widowControl w:val="0"/>
              <w:spacing w:before="40" w:after="40"/>
              <w:ind w:left="144"/>
            </w:pPr>
            <w:r w:rsidRPr="0099647B">
              <w:t>a)</w:t>
            </w:r>
          </w:p>
        </w:tc>
        <w:tc>
          <w:tcPr>
            <w:tcW w:w="6117" w:type="dxa"/>
            <w:gridSpan w:val="2"/>
          </w:tcPr>
          <w:p w:rsidR="006D74A2" w:rsidRPr="00702589" w:rsidRDefault="006D74A2" w:rsidP="009B3780">
            <w:pPr>
              <w:pStyle w:val="TableText"/>
              <w:widowControl w:val="0"/>
              <w:tabs>
                <w:tab w:val="num" w:pos="433"/>
              </w:tabs>
              <w:spacing w:before="40" w:after="40"/>
              <w:ind w:left="172"/>
              <w:rPr>
                <w:sz w:val="20"/>
              </w:rPr>
            </w:pPr>
            <w:r w:rsidRPr="00702589">
              <w:rPr>
                <w:sz w:val="20"/>
              </w:rPr>
              <w:t>Review the surety assessment performed by Sandia National Laboratories and determine if standard changes are necessary.</w:t>
            </w:r>
          </w:p>
        </w:tc>
        <w:tc>
          <w:tcPr>
            <w:tcW w:w="1170" w:type="dxa"/>
          </w:tcPr>
          <w:p w:rsidR="006D74A2" w:rsidRPr="00FC4DFD" w:rsidDel="00420B76" w:rsidRDefault="006D74A2" w:rsidP="009B3780">
            <w:pPr>
              <w:pStyle w:val="TableText"/>
              <w:widowControl w:val="0"/>
              <w:spacing w:before="40" w:after="40"/>
              <w:ind w:left="144"/>
              <w:jc w:val="center"/>
              <w:rPr>
                <w:rFonts w:ascii="Arial" w:hAnsi="Arial" w:cs="Arial"/>
                <w:sz w:val="20"/>
              </w:rPr>
            </w:pPr>
            <w:r w:rsidRPr="00FC4DFD">
              <w:rPr>
                <w:sz w:val="20"/>
              </w:rPr>
              <w:t>4</w:t>
            </w:r>
            <w:r w:rsidRPr="00FC4DFD">
              <w:rPr>
                <w:sz w:val="20"/>
                <w:vertAlign w:val="superscript"/>
              </w:rPr>
              <w:t>th</w:t>
            </w:r>
            <w:r w:rsidRPr="00FC4DFD">
              <w:rPr>
                <w:sz w:val="20"/>
              </w:rPr>
              <w:t xml:space="preserve"> Q, 2019</w:t>
            </w:r>
          </w:p>
        </w:tc>
        <w:tc>
          <w:tcPr>
            <w:tcW w:w="1622" w:type="dxa"/>
          </w:tcPr>
          <w:p w:rsidR="006D74A2" w:rsidRPr="00FC4DFD" w:rsidRDefault="006D74A2" w:rsidP="009B3780">
            <w:pPr>
              <w:pStyle w:val="TableText"/>
              <w:widowControl w:val="0"/>
              <w:spacing w:before="40" w:after="40"/>
              <w:ind w:left="144"/>
              <w:rPr>
                <w:rFonts w:ascii="Arial" w:hAnsi="Arial" w:cs="Arial"/>
                <w:sz w:val="20"/>
              </w:rPr>
            </w:pPr>
            <w:r w:rsidRPr="00FC4DFD">
              <w:rPr>
                <w:sz w:val="20"/>
              </w:rPr>
              <w:t>Cybersecurity Subcommittee / OASIS Subcommittee</w:t>
            </w:r>
          </w:p>
        </w:tc>
      </w:tr>
      <w:tr w:rsidR="006D74A2" w:rsidRPr="00FC4DFD" w:rsidTr="00644DCC">
        <w:tc>
          <w:tcPr>
            <w:tcW w:w="361" w:type="dxa"/>
          </w:tcPr>
          <w:p w:rsidR="006D74A2" w:rsidRPr="00FC4DFD" w:rsidRDefault="006D74A2" w:rsidP="009B3780">
            <w:pPr>
              <w:pStyle w:val="TableText"/>
              <w:widowControl w:val="0"/>
              <w:spacing w:before="40" w:after="40"/>
              <w:ind w:left="144"/>
              <w:rPr>
                <w:rFonts w:ascii="Arial" w:hAnsi="Arial" w:cs="Arial"/>
                <w:sz w:val="20"/>
              </w:rPr>
            </w:pPr>
          </w:p>
        </w:tc>
        <w:tc>
          <w:tcPr>
            <w:tcW w:w="360" w:type="dxa"/>
          </w:tcPr>
          <w:p w:rsidR="006D74A2" w:rsidRPr="0099647B" w:rsidRDefault="006D74A2" w:rsidP="009B3780">
            <w:pPr>
              <w:widowControl w:val="0"/>
              <w:spacing w:before="40" w:after="40"/>
              <w:ind w:left="144"/>
            </w:pPr>
            <w:r w:rsidRPr="0099647B">
              <w:t>b)</w:t>
            </w:r>
          </w:p>
        </w:tc>
        <w:tc>
          <w:tcPr>
            <w:tcW w:w="6117" w:type="dxa"/>
            <w:gridSpan w:val="2"/>
          </w:tcPr>
          <w:p w:rsidR="006D74A2" w:rsidRPr="00FC4DFD" w:rsidRDefault="006D74A2" w:rsidP="009B3780">
            <w:pPr>
              <w:pStyle w:val="TableText"/>
              <w:widowControl w:val="0"/>
              <w:tabs>
                <w:tab w:val="num" w:pos="433"/>
              </w:tabs>
              <w:spacing w:before="40" w:after="40"/>
              <w:ind w:left="144"/>
              <w:rPr>
                <w:sz w:val="20"/>
              </w:rPr>
            </w:pPr>
            <w:r w:rsidRPr="00FC4DFD">
              <w:rPr>
                <w:sz w:val="20"/>
              </w:rPr>
              <w:t xml:space="preserve">Develop and/or modify the NAESB Business Practice Standards as needed to address the Security Issues identified by Sandia National Laboratories </w:t>
            </w:r>
          </w:p>
        </w:tc>
        <w:tc>
          <w:tcPr>
            <w:tcW w:w="1170" w:type="dxa"/>
          </w:tcPr>
          <w:p w:rsidR="006D74A2" w:rsidRPr="00FC4DFD" w:rsidRDefault="006D74A2" w:rsidP="009B3780">
            <w:pPr>
              <w:pStyle w:val="TableText"/>
              <w:widowControl w:val="0"/>
              <w:spacing w:before="40" w:after="40"/>
              <w:ind w:left="144"/>
              <w:jc w:val="center"/>
              <w:rPr>
                <w:sz w:val="20"/>
              </w:rPr>
            </w:pPr>
          </w:p>
        </w:tc>
        <w:tc>
          <w:tcPr>
            <w:tcW w:w="1622" w:type="dxa"/>
          </w:tcPr>
          <w:p w:rsidR="006D74A2" w:rsidRPr="00FC4DFD" w:rsidRDefault="006D74A2" w:rsidP="009B3780">
            <w:pPr>
              <w:pStyle w:val="TableText"/>
              <w:widowControl w:val="0"/>
              <w:spacing w:before="40" w:after="40"/>
              <w:ind w:left="144"/>
              <w:rPr>
                <w:sz w:val="20"/>
              </w:rPr>
            </w:pPr>
          </w:p>
        </w:tc>
      </w:tr>
      <w:tr w:rsidR="006D74A2" w:rsidRPr="00FC4DFD" w:rsidTr="00644DCC">
        <w:trPr>
          <w:trHeight w:val="503"/>
        </w:trPr>
        <w:tc>
          <w:tcPr>
            <w:tcW w:w="361" w:type="dxa"/>
          </w:tcPr>
          <w:p w:rsidR="006D74A2" w:rsidRPr="00FC4DFD" w:rsidRDefault="006D74A2" w:rsidP="009B3780">
            <w:pPr>
              <w:pStyle w:val="TableText"/>
              <w:widowControl w:val="0"/>
              <w:spacing w:before="40" w:after="40"/>
              <w:ind w:left="144"/>
              <w:rPr>
                <w:b/>
                <w:sz w:val="20"/>
              </w:rPr>
            </w:pPr>
          </w:p>
        </w:tc>
        <w:tc>
          <w:tcPr>
            <w:tcW w:w="360" w:type="dxa"/>
          </w:tcPr>
          <w:p w:rsidR="006D74A2" w:rsidRPr="00FC4DFD" w:rsidRDefault="006D74A2" w:rsidP="009B3780">
            <w:pPr>
              <w:widowControl w:val="0"/>
              <w:spacing w:before="40" w:after="40"/>
              <w:ind w:left="144"/>
            </w:pPr>
          </w:p>
        </w:tc>
        <w:tc>
          <w:tcPr>
            <w:tcW w:w="432" w:type="dxa"/>
          </w:tcPr>
          <w:p w:rsidR="006D74A2" w:rsidRPr="00FC4DFD" w:rsidRDefault="006D74A2" w:rsidP="009B3780">
            <w:pPr>
              <w:pStyle w:val="TableText"/>
              <w:widowControl w:val="0"/>
              <w:tabs>
                <w:tab w:val="num" w:pos="433"/>
              </w:tabs>
              <w:spacing w:before="40" w:after="40"/>
              <w:ind w:left="144"/>
              <w:rPr>
                <w:sz w:val="20"/>
              </w:rPr>
            </w:pPr>
            <w:r w:rsidRPr="00FC4DFD">
              <w:rPr>
                <w:sz w:val="20"/>
              </w:rPr>
              <w:t>i)</w:t>
            </w:r>
          </w:p>
        </w:tc>
        <w:tc>
          <w:tcPr>
            <w:tcW w:w="5685" w:type="dxa"/>
          </w:tcPr>
          <w:p w:rsidR="006D74A2" w:rsidRPr="00702589" w:rsidRDefault="006D74A2" w:rsidP="009B3780">
            <w:pPr>
              <w:pStyle w:val="TableText"/>
              <w:widowControl w:val="0"/>
              <w:tabs>
                <w:tab w:val="num" w:pos="433"/>
              </w:tabs>
              <w:spacing w:before="40" w:after="40"/>
              <w:ind w:left="144"/>
              <w:rPr>
                <w:sz w:val="20"/>
              </w:rPr>
            </w:pPr>
            <w:r w:rsidRPr="00702589">
              <w:rPr>
                <w:sz w:val="20"/>
              </w:rPr>
              <w:t>Develop and/or modify WEQ-012 and/or the NAESB Accreditation Requirements for Authorized Certification Authorities as needed to address Security Issues identified by Sandia National Laboratories</w:t>
            </w:r>
          </w:p>
        </w:tc>
        <w:tc>
          <w:tcPr>
            <w:tcW w:w="1170" w:type="dxa"/>
          </w:tcPr>
          <w:p w:rsidR="006D74A2" w:rsidRPr="00702589" w:rsidRDefault="006D74A2" w:rsidP="009B3780">
            <w:pPr>
              <w:pStyle w:val="TableText"/>
              <w:widowControl w:val="0"/>
              <w:spacing w:before="40" w:after="40"/>
              <w:ind w:left="144"/>
              <w:jc w:val="center"/>
              <w:rPr>
                <w:sz w:val="20"/>
              </w:rPr>
            </w:pPr>
            <w:r w:rsidRPr="00702589">
              <w:rPr>
                <w:sz w:val="20"/>
              </w:rPr>
              <w:t>4</w:t>
            </w:r>
            <w:r w:rsidRPr="00702589">
              <w:rPr>
                <w:sz w:val="20"/>
                <w:vertAlign w:val="superscript"/>
              </w:rPr>
              <w:t>th</w:t>
            </w:r>
            <w:r w:rsidRPr="00702589">
              <w:rPr>
                <w:sz w:val="20"/>
              </w:rPr>
              <w:t xml:space="preserve"> Q, 2019</w:t>
            </w:r>
          </w:p>
        </w:tc>
        <w:tc>
          <w:tcPr>
            <w:tcW w:w="1622" w:type="dxa"/>
          </w:tcPr>
          <w:p w:rsidR="006D74A2" w:rsidRPr="00702589" w:rsidRDefault="006D74A2" w:rsidP="009B3780">
            <w:pPr>
              <w:pStyle w:val="TableText"/>
              <w:widowControl w:val="0"/>
              <w:spacing w:before="40" w:after="40"/>
              <w:ind w:left="144"/>
              <w:rPr>
                <w:sz w:val="20"/>
              </w:rPr>
            </w:pPr>
            <w:r w:rsidRPr="00702589">
              <w:rPr>
                <w:sz w:val="20"/>
              </w:rPr>
              <w:t>Cybersecurity Subcommittee</w:t>
            </w:r>
          </w:p>
        </w:tc>
      </w:tr>
      <w:tr w:rsidR="006D74A2" w:rsidRPr="00FC4DFD" w:rsidTr="00644DCC">
        <w:trPr>
          <w:trHeight w:val="503"/>
        </w:trPr>
        <w:tc>
          <w:tcPr>
            <w:tcW w:w="361" w:type="dxa"/>
          </w:tcPr>
          <w:p w:rsidR="006D74A2" w:rsidRPr="00FC4DFD" w:rsidRDefault="006D74A2" w:rsidP="009B3780">
            <w:pPr>
              <w:pStyle w:val="TableText"/>
              <w:widowControl w:val="0"/>
              <w:spacing w:before="40" w:after="40"/>
              <w:ind w:left="144"/>
              <w:rPr>
                <w:b/>
                <w:sz w:val="20"/>
              </w:rPr>
            </w:pPr>
          </w:p>
        </w:tc>
        <w:tc>
          <w:tcPr>
            <w:tcW w:w="360" w:type="dxa"/>
          </w:tcPr>
          <w:p w:rsidR="006D74A2" w:rsidRPr="00FC4DFD" w:rsidRDefault="006D74A2" w:rsidP="009B3780">
            <w:pPr>
              <w:widowControl w:val="0"/>
              <w:spacing w:before="40" w:after="40"/>
              <w:ind w:left="144"/>
            </w:pPr>
            <w:r w:rsidRPr="00FC4DFD">
              <w:t>c)</w:t>
            </w:r>
          </w:p>
        </w:tc>
        <w:tc>
          <w:tcPr>
            <w:tcW w:w="6117" w:type="dxa"/>
            <w:gridSpan w:val="2"/>
          </w:tcPr>
          <w:p w:rsidR="006D74A2" w:rsidRPr="00FC4DFD" w:rsidRDefault="006D74A2" w:rsidP="009B3780">
            <w:pPr>
              <w:pStyle w:val="TableText"/>
              <w:widowControl w:val="0"/>
              <w:tabs>
                <w:tab w:val="num" w:pos="433"/>
              </w:tabs>
              <w:spacing w:before="40" w:after="40"/>
              <w:ind w:left="144"/>
              <w:rPr>
                <w:sz w:val="20"/>
              </w:rPr>
            </w:pPr>
            <w:r w:rsidRPr="00FC4DFD">
              <w:rPr>
                <w:sz w:val="20"/>
              </w:rPr>
              <w:t>Develop and/or modify the NAESB Business Practice Standards as needed to address the Additional Findings and Considerations identified by Sandia National Laboratories</w:t>
            </w:r>
          </w:p>
        </w:tc>
        <w:tc>
          <w:tcPr>
            <w:tcW w:w="1170" w:type="dxa"/>
          </w:tcPr>
          <w:p w:rsidR="006D74A2" w:rsidRPr="00FC4DFD" w:rsidRDefault="006D74A2" w:rsidP="009B3780">
            <w:pPr>
              <w:pStyle w:val="TableText"/>
              <w:widowControl w:val="0"/>
              <w:spacing w:before="40" w:after="40"/>
              <w:ind w:left="144"/>
              <w:jc w:val="center"/>
              <w:rPr>
                <w:sz w:val="20"/>
              </w:rPr>
            </w:pPr>
          </w:p>
        </w:tc>
        <w:tc>
          <w:tcPr>
            <w:tcW w:w="1622" w:type="dxa"/>
          </w:tcPr>
          <w:p w:rsidR="006D74A2" w:rsidRPr="00FC4DFD" w:rsidRDefault="006D74A2" w:rsidP="009B3780">
            <w:pPr>
              <w:pStyle w:val="TableText"/>
              <w:widowControl w:val="0"/>
              <w:spacing w:before="40" w:after="40"/>
              <w:ind w:left="144"/>
              <w:rPr>
                <w:sz w:val="20"/>
              </w:rPr>
            </w:pPr>
          </w:p>
        </w:tc>
      </w:tr>
      <w:tr w:rsidR="006D74A2" w:rsidRPr="00FC4DFD" w:rsidTr="00644DCC">
        <w:trPr>
          <w:trHeight w:val="503"/>
        </w:trPr>
        <w:tc>
          <w:tcPr>
            <w:tcW w:w="361" w:type="dxa"/>
          </w:tcPr>
          <w:p w:rsidR="006D74A2" w:rsidRPr="00FC4DFD" w:rsidRDefault="006D74A2" w:rsidP="009B3780">
            <w:pPr>
              <w:widowControl w:val="0"/>
              <w:spacing w:before="40" w:after="40"/>
              <w:ind w:left="144"/>
              <w:rPr>
                <w:rStyle w:val="SalutationChar"/>
                <w:b/>
              </w:rPr>
            </w:pPr>
          </w:p>
        </w:tc>
        <w:tc>
          <w:tcPr>
            <w:tcW w:w="360" w:type="dxa"/>
          </w:tcPr>
          <w:p w:rsidR="006D74A2" w:rsidRPr="00FC4DFD" w:rsidRDefault="006D74A2" w:rsidP="009B3780">
            <w:pPr>
              <w:widowControl w:val="0"/>
              <w:spacing w:before="40" w:after="40"/>
              <w:ind w:left="144"/>
            </w:pPr>
          </w:p>
        </w:tc>
        <w:tc>
          <w:tcPr>
            <w:tcW w:w="432" w:type="dxa"/>
          </w:tcPr>
          <w:p w:rsidR="006D74A2" w:rsidRPr="00FC4DFD" w:rsidRDefault="006D74A2" w:rsidP="009B3780">
            <w:pPr>
              <w:widowControl w:val="0"/>
              <w:tabs>
                <w:tab w:val="num" w:pos="433"/>
              </w:tabs>
              <w:spacing w:before="40" w:after="40"/>
              <w:ind w:left="144"/>
              <w:rPr>
                <w:rStyle w:val="SalutationChar"/>
              </w:rPr>
            </w:pPr>
            <w:r w:rsidRPr="00FC4DFD">
              <w:rPr>
                <w:rStyle w:val="SalutationChar"/>
              </w:rPr>
              <w:t>i)</w:t>
            </w:r>
          </w:p>
        </w:tc>
        <w:tc>
          <w:tcPr>
            <w:tcW w:w="5685" w:type="dxa"/>
          </w:tcPr>
          <w:p w:rsidR="006D74A2" w:rsidRPr="00702589" w:rsidRDefault="006D74A2" w:rsidP="009B3780">
            <w:pPr>
              <w:pStyle w:val="TableText"/>
              <w:widowControl w:val="0"/>
              <w:tabs>
                <w:tab w:val="num" w:pos="433"/>
              </w:tabs>
              <w:spacing w:before="40" w:after="40"/>
              <w:ind w:left="144"/>
              <w:rPr>
                <w:sz w:val="20"/>
              </w:rPr>
            </w:pPr>
            <w:r w:rsidRPr="00702589">
              <w:rPr>
                <w:sz w:val="20"/>
              </w:rPr>
              <w:t>Develop and/or modify WEQ-012, the NAESB Accreditation Requirements for Authorized Certification Authorities and/or other standards as needed to address Additional Findings and Considerations identified by Sandia National Laboratories</w:t>
            </w:r>
          </w:p>
        </w:tc>
        <w:tc>
          <w:tcPr>
            <w:tcW w:w="1170" w:type="dxa"/>
          </w:tcPr>
          <w:p w:rsidR="006D74A2" w:rsidRPr="00702589" w:rsidRDefault="006D74A2" w:rsidP="009B3780">
            <w:pPr>
              <w:pStyle w:val="TableText"/>
              <w:widowControl w:val="0"/>
              <w:spacing w:before="40" w:after="40"/>
              <w:ind w:left="144"/>
              <w:jc w:val="center"/>
              <w:rPr>
                <w:sz w:val="20"/>
              </w:rPr>
            </w:pPr>
            <w:r w:rsidRPr="00702589">
              <w:rPr>
                <w:sz w:val="20"/>
              </w:rPr>
              <w:t>4</w:t>
            </w:r>
            <w:r w:rsidRPr="00702589">
              <w:rPr>
                <w:sz w:val="20"/>
                <w:vertAlign w:val="superscript"/>
              </w:rPr>
              <w:t>th</w:t>
            </w:r>
            <w:r w:rsidRPr="00702589">
              <w:rPr>
                <w:sz w:val="20"/>
              </w:rPr>
              <w:t xml:space="preserve"> Q, 2019</w:t>
            </w:r>
          </w:p>
        </w:tc>
        <w:tc>
          <w:tcPr>
            <w:tcW w:w="1622" w:type="dxa"/>
          </w:tcPr>
          <w:p w:rsidR="006D74A2" w:rsidRPr="00702589" w:rsidRDefault="006D74A2" w:rsidP="009B3780">
            <w:pPr>
              <w:pStyle w:val="TableText"/>
              <w:widowControl w:val="0"/>
              <w:spacing w:before="40" w:after="40"/>
              <w:ind w:left="144"/>
              <w:rPr>
                <w:sz w:val="20"/>
              </w:rPr>
            </w:pPr>
            <w:r w:rsidRPr="00702589">
              <w:rPr>
                <w:sz w:val="20"/>
              </w:rPr>
              <w:t>Cybersecurity Subcommittee</w:t>
            </w:r>
          </w:p>
        </w:tc>
      </w:tr>
      <w:tr w:rsidR="006D74A2" w:rsidRPr="00A40062" w:rsidTr="00644DCC">
        <w:tc>
          <w:tcPr>
            <w:tcW w:w="361" w:type="dxa"/>
          </w:tcPr>
          <w:p w:rsidR="006D74A2" w:rsidRPr="00A40062" w:rsidRDefault="006D74A2" w:rsidP="009B3780">
            <w:pPr>
              <w:pStyle w:val="TableText"/>
              <w:widowControl w:val="0"/>
              <w:spacing w:before="40" w:after="40"/>
              <w:ind w:left="144"/>
              <w:rPr>
                <w:rFonts w:ascii="Arial" w:hAnsi="Arial" w:cs="Arial"/>
                <w:sz w:val="18"/>
                <w:szCs w:val="18"/>
              </w:rPr>
            </w:pPr>
          </w:p>
        </w:tc>
        <w:tc>
          <w:tcPr>
            <w:tcW w:w="360" w:type="dxa"/>
          </w:tcPr>
          <w:p w:rsidR="006D74A2" w:rsidRDefault="006D74A2" w:rsidP="009B3780">
            <w:pPr>
              <w:widowControl w:val="0"/>
              <w:spacing w:before="40" w:after="40"/>
              <w:ind w:left="144"/>
              <w:rPr>
                <w:rFonts w:ascii="Arial" w:hAnsi="Arial" w:cs="Arial"/>
                <w:sz w:val="18"/>
                <w:szCs w:val="18"/>
              </w:rPr>
            </w:pPr>
          </w:p>
        </w:tc>
        <w:tc>
          <w:tcPr>
            <w:tcW w:w="6117" w:type="dxa"/>
            <w:gridSpan w:val="2"/>
          </w:tcPr>
          <w:p w:rsidR="006D74A2" w:rsidRDefault="006D74A2" w:rsidP="009B3780">
            <w:pPr>
              <w:pStyle w:val="TableText"/>
              <w:widowControl w:val="0"/>
              <w:tabs>
                <w:tab w:val="num" w:pos="433"/>
              </w:tabs>
              <w:spacing w:before="40" w:after="40"/>
              <w:ind w:left="144"/>
              <w:rPr>
                <w:sz w:val="18"/>
                <w:szCs w:val="18"/>
              </w:rPr>
            </w:pPr>
          </w:p>
        </w:tc>
        <w:tc>
          <w:tcPr>
            <w:tcW w:w="1170" w:type="dxa"/>
          </w:tcPr>
          <w:p w:rsidR="006D74A2" w:rsidRDefault="006D74A2" w:rsidP="009B3780">
            <w:pPr>
              <w:pStyle w:val="TableText"/>
              <w:widowControl w:val="0"/>
              <w:spacing w:before="40" w:after="40"/>
              <w:ind w:left="144"/>
              <w:jc w:val="center"/>
              <w:rPr>
                <w:sz w:val="18"/>
                <w:szCs w:val="18"/>
              </w:rPr>
            </w:pPr>
          </w:p>
        </w:tc>
        <w:tc>
          <w:tcPr>
            <w:tcW w:w="1622" w:type="dxa"/>
          </w:tcPr>
          <w:p w:rsidR="006D74A2" w:rsidRPr="00CB163C" w:rsidRDefault="006D74A2" w:rsidP="009B3780">
            <w:pPr>
              <w:pStyle w:val="TableText"/>
              <w:widowControl w:val="0"/>
              <w:spacing w:before="40" w:after="40"/>
              <w:ind w:left="144"/>
              <w:rPr>
                <w:sz w:val="18"/>
                <w:szCs w:val="18"/>
              </w:rPr>
            </w:pPr>
          </w:p>
        </w:tc>
      </w:tr>
    </w:tbl>
    <w:p w:rsidR="006D74A2" w:rsidRPr="00A40062" w:rsidRDefault="006D74A2" w:rsidP="009B37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p>
    <w:p w:rsidR="006D74A2" w:rsidRPr="009E07F2" w:rsidRDefault="006D74A2" w:rsidP="009B3780">
      <w:pPr>
        <w:pStyle w:val="DefaultText"/>
        <w:widowControl w:val="0"/>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Pr="009E07F2">
        <w:rPr>
          <w:rFonts w:ascii="Arial" w:hAnsi="Arial" w:cs="Arial"/>
          <w:b/>
          <w:sz w:val="20"/>
        </w:rPr>
        <w:t>Description of Recommendation:</w:t>
      </w:r>
    </w:p>
    <w:p w:rsidR="006D74A2" w:rsidRDefault="006D74A2" w:rsidP="009B3780">
      <w:pPr>
        <w:pStyle w:val="DefaultText"/>
        <w:widowControl w:val="0"/>
        <w:spacing w:before="120"/>
        <w:rPr>
          <w:rFonts w:ascii="Arial" w:hAnsi="Arial" w:cs="Arial"/>
          <w:sz w:val="22"/>
        </w:rPr>
      </w:pPr>
      <w:r>
        <w:rPr>
          <w:rFonts w:ascii="Arial" w:hAnsi="Arial" w:cs="Arial"/>
          <w:sz w:val="22"/>
        </w:rPr>
        <w:t xml:space="preserve">The recommendation incorporates the suggested modifications to </w:t>
      </w:r>
      <w:r w:rsidRPr="00A60F7F">
        <w:rPr>
          <w:rFonts w:ascii="Arial" w:hAnsi="Arial" w:cs="Arial"/>
          <w:sz w:val="22"/>
        </w:rPr>
        <w:t xml:space="preserve">the </w:t>
      </w:r>
      <w:r w:rsidRPr="00713D51">
        <w:rPr>
          <w:rFonts w:ascii="Arial" w:hAnsi="Arial" w:cs="Arial"/>
          <w:sz w:val="22"/>
        </w:rPr>
        <w:t xml:space="preserve">NAESB Accreditation Requirements for Authorized Certification Authorities </w:t>
      </w:r>
      <w:r>
        <w:rPr>
          <w:rFonts w:ascii="Arial" w:hAnsi="Arial" w:cs="Arial"/>
          <w:sz w:val="22"/>
        </w:rPr>
        <w:t>document</w:t>
      </w:r>
      <w:r w:rsidRPr="00A60F7F">
        <w:rPr>
          <w:rFonts w:ascii="Arial" w:hAnsi="Arial" w:cs="Arial"/>
          <w:sz w:val="22"/>
        </w:rPr>
        <w:t xml:space="preserve"> based on </w:t>
      </w:r>
      <w:r>
        <w:rPr>
          <w:rFonts w:ascii="Arial" w:hAnsi="Arial" w:cs="Arial"/>
          <w:sz w:val="22"/>
        </w:rPr>
        <w:t>the results of the Sandia National Laboratories surety assessment as proposed by the NAESB Board Critical Infrastructure Protection Committee.</w:t>
      </w:r>
    </w:p>
    <w:p w:rsidR="006D74A2" w:rsidRDefault="006D74A2" w:rsidP="009B3780">
      <w:pPr>
        <w:pStyle w:val="DefaultText"/>
        <w:widowControl w:val="0"/>
        <w:spacing w:before="120"/>
        <w:rPr>
          <w:rFonts w:ascii="Arial" w:hAnsi="Arial" w:cs="Arial"/>
          <w:sz w:val="22"/>
        </w:rPr>
      </w:pPr>
      <w:r>
        <w:rPr>
          <w:rFonts w:ascii="Arial" w:hAnsi="Arial" w:cs="Arial"/>
          <w:sz w:val="22"/>
        </w:rPr>
        <w:lastRenderedPageBreak/>
        <w:t xml:space="preserve">Specifically, the following changes were incorporated regarding the CSS issues identified by the Board Critical Infrastructure Protection Committee.  </w:t>
      </w:r>
    </w:p>
    <w:p w:rsidR="006D74A2" w:rsidRDefault="006D74A2" w:rsidP="003362B8">
      <w:pPr>
        <w:pStyle w:val="DefaultText"/>
        <w:tabs>
          <w:tab w:val="left" w:pos="1080"/>
        </w:tabs>
        <w:spacing w:before="120"/>
        <w:rPr>
          <w:rFonts w:ascii="Arial" w:hAnsi="Arial" w:cs="Arial"/>
          <w:b/>
          <w:sz w:val="20"/>
        </w:rPr>
      </w:pPr>
      <w:r>
        <w:rPr>
          <w:rFonts w:ascii="Arial" w:hAnsi="Arial" w:cs="Arial"/>
          <w:b/>
          <w:sz w:val="20"/>
        </w:rPr>
        <w:t xml:space="preserve">Cyber Security Subcommittee Assignments   </w:t>
      </w:r>
    </w:p>
    <w:p w:rsidR="006D74A2" w:rsidRPr="009E07F2" w:rsidRDefault="006D74A2" w:rsidP="003362B8">
      <w:pPr>
        <w:pStyle w:val="DefaultText"/>
        <w:tabs>
          <w:tab w:val="left" w:pos="1080"/>
        </w:tabs>
        <w:spacing w:before="120"/>
        <w:rPr>
          <w:rFonts w:ascii="Arial" w:hAnsi="Arial" w:cs="Arial"/>
          <w:b/>
          <w:sz w:val="20"/>
        </w:rPr>
      </w:pPr>
      <w:r>
        <w:rPr>
          <w:rFonts w:ascii="Arial" w:hAnsi="Arial" w:cs="Arial"/>
          <w:b/>
          <w:sz w:val="20"/>
        </w:rPr>
        <w:t>Security Issues in Section 6.1</w:t>
      </w:r>
    </w:p>
    <w:p w:rsidR="006D74A2" w:rsidRDefault="006D74A2" w:rsidP="00644DCC">
      <w:pPr>
        <w:pStyle w:val="DefaultText"/>
        <w:spacing w:before="120"/>
        <w:rPr>
          <w:rFonts w:ascii="Arial" w:hAnsi="Arial" w:cs="Arial"/>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1755"/>
        <w:gridCol w:w="3380"/>
        <w:gridCol w:w="2286"/>
        <w:gridCol w:w="1910"/>
      </w:tblGrid>
      <w:tr w:rsidR="006D74A2" w:rsidTr="002F194D">
        <w:trPr>
          <w:tblHeader/>
        </w:trPr>
        <w:tc>
          <w:tcPr>
            <w:tcW w:w="731" w:type="dxa"/>
          </w:tcPr>
          <w:p w:rsidR="006D74A2" w:rsidRPr="00BE6280" w:rsidRDefault="006D74A2" w:rsidP="002F194D">
            <w:pPr>
              <w:keepNext/>
              <w:keepLines/>
              <w:widowControl w:val="0"/>
              <w:spacing w:before="120" w:after="120"/>
              <w:rPr>
                <w:b/>
              </w:rPr>
            </w:pPr>
            <w:r w:rsidRPr="00BE6280">
              <w:rPr>
                <w:b/>
              </w:rPr>
              <w:t>Issue</w:t>
            </w:r>
          </w:p>
        </w:tc>
        <w:tc>
          <w:tcPr>
            <w:tcW w:w="1790" w:type="dxa"/>
          </w:tcPr>
          <w:p w:rsidR="006D74A2" w:rsidRPr="00BE6280" w:rsidRDefault="006D74A2" w:rsidP="002F194D">
            <w:pPr>
              <w:keepNext/>
              <w:keepLines/>
              <w:widowControl w:val="0"/>
              <w:spacing w:before="120" w:after="120"/>
              <w:rPr>
                <w:b/>
              </w:rPr>
            </w:pPr>
            <w:r w:rsidRPr="00BE6280">
              <w:rPr>
                <w:b/>
              </w:rPr>
              <w:t>Report Section (Page Number)</w:t>
            </w:r>
          </w:p>
        </w:tc>
        <w:tc>
          <w:tcPr>
            <w:tcW w:w="3496" w:type="dxa"/>
          </w:tcPr>
          <w:p w:rsidR="006D74A2" w:rsidRPr="00BE6280" w:rsidRDefault="006D74A2" w:rsidP="002F194D">
            <w:pPr>
              <w:keepNext/>
              <w:keepLines/>
              <w:widowControl w:val="0"/>
              <w:spacing w:before="120" w:after="120"/>
              <w:jc w:val="both"/>
              <w:rPr>
                <w:b/>
              </w:rPr>
            </w:pPr>
            <w:r w:rsidRPr="00BE6280">
              <w:rPr>
                <w:b/>
              </w:rPr>
              <w:t>Sandia Recommendation</w:t>
            </w:r>
          </w:p>
        </w:tc>
        <w:tc>
          <w:tcPr>
            <w:tcW w:w="2342" w:type="dxa"/>
          </w:tcPr>
          <w:p w:rsidR="006D74A2" w:rsidRPr="00BE6280" w:rsidRDefault="006D74A2" w:rsidP="002F194D">
            <w:pPr>
              <w:keepNext/>
              <w:keepLines/>
              <w:widowControl w:val="0"/>
              <w:spacing w:before="120" w:after="120"/>
              <w:rPr>
                <w:b/>
              </w:rPr>
            </w:pPr>
            <w:r w:rsidRPr="00BE6280">
              <w:rPr>
                <w:b/>
              </w:rPr>
              <w:t>Recommended Standards Development Activity</w:t>
            </w:r>
          </w:p>
        </w:tc>
        <w:tc>
          <w:tcPr>
            <w:tcW w:w="1923" w:type="dxa"/>
          </w:tcPr>
          <w:p w:rsidR="006D74A2" w:rsidRPr="00BE6280" w:rsidRDefault="006D74A2" w:rsidP="002F194D">
            <w:pPr>
              <w:keepNext/>
              <w:keepLines/>
              <w:widowControl w:val="0"/>
              <w:spacing w:before="120" w:after="120"/>
              <w:rPr>
                <w:b/>
              </w:rPr>
            </w:pPr>
            <w:r w:rsidRPr="00BE6280">
              <w:rPr>
                <w:b/>
              </w:rPr>
              <w:t>Recommendation Action</w:t>
            </w:r>
          </w:p>
        </w:tc>
      </w:tr>
      <w:tr w:rsidR="006D74A2" w:rsidTr="002F194D">
        <w:tc>
          <w:tcPr>
            <w:tcW w:w="731" w:type="dxa"/>
          </w:tcPr>
          <w:p w:rsidR="006D74A2" w:rsidRPr="00BE6280" w:rsidRDefault="006D74A2" w:rsidP="002F194D">
            <w:pPr>
              <w:pStyle w:val="ListParagraph"/>
              <w:numPr>
                <w:ilvl w:val="0"/>
                <w:numId w:val="6"/>
              </w:numPr>
              <w:spacing w:before="120" w:after="120"/>
            </w:pPr>
          </w:p>
        </w:tc>
        <w:tc>
          <w:tcPr>
            <w:tcW w:w="1790" w:type="dxa"/>
          </w:tcPr>
          <w:p w:rsidR="006D74A2" w:rsidRPr="00BE6280" w:rsidRDefault="006D74A2" w:rsidP="002F194D">
            <w:pPr>
              <w:spacing w:before="120" w:after="120"/>
            </w:pPr>
            <w:r w:rsidRPr="00BE6280">
              <w:t xml:space="preserve">PKI Report Section 6.1.1 – Discrepancy between NAESB Standards and Certification Practice Statements (Pages 10 – 11) </w:t>
            </w:r>
          </w:p>
        </w:tc>
        <w:tc>
          <w:tcPr>
            <w:tcW w:w="3496" w:type="dxa"/>
          </w:tcPr>
          <w:p w:rsidR="006D74A2" w:rsidRPr="00BE6280" w:rsidRDefault="006D74A2" w:rsidP="002F194D">
            <w:pPr>
              <w:spacing w:before="120" w:after="120"/>
              <w:jc w:val="both"/>
            </w:pPr>
            <w:r w:rsidRPr="00BE6280">
              <w:t>Level: Low</w:t>
            </w:r>
          </w:p>
          <w:p w:rsidR="006D74A2" w:rsidRPr="00BE6280" w:rsidRDefault="006D74A2" w:rsidP="002F194D">
            <w:pPr>
              <w:spacing w:before="120" w:after="120"/>
              <w:jc w:val="both"/>
            </w:pPr>
            <w:r w:rsidRPr="00BE6280">
              <w:t>The ACAs should include verbiage in the CPS that indicates a mismatch between the CPS and NAESB standard will default to the NAESB standard. Alternatively, the CPS could be updated to reference the appropriate NAESB standard(s) instead of including the language directly in the CPS.</w:t>
            </w:r>
          </w:p>
        </w:tc>
        <w:tc>
          <w:tcPr>
            <w:tcW w:w="2342" w:type="dxa"/>
          </w:tcPr>
          <w:p w:rsidR="006D74A2" w:rsidRPr="00BE6280" w:rsidRDefault="006D74A2" w:rsidP="002F194D">
            <w:pPr>
              <w:spacing w:before="120" w:after="120"/>
            </w:pPr>
            <w:r w:rsidRPr="00BE6280">
              <w:t>Subcommittee should consider if the Accreditation Requirements for Authorized Certification Authorities should be modified to include a requirement that all Certification Practice Statements include a statement that in instances of a conflict between language, the NAESB Standards will have precedence.</w:t>
            </w:r>
          </w:p>
        </w:tc>
        <w:tc>
          <w:tcPr>
            <w:tcW w:w="1923" w:type="dxa"/>
          </w:tcPr>
          <w:p w:rsidR="006D74A2" w:rsidRPr="00BE6280" w:rsidRDefault="006D74A2" w:rsidP="002F194D">
            <w:pPr>
              <w:pStyle w:val="ListParagraph"/>
              <w:spacing w:before="120" w:after="120"/>
              <w:ind w:left="0"/>
              <w:rPr>
                <w:highlight w:val="yellow"/>
              </w:rPr>
            </w:pPr>
            <w:r w:rsidRPr="00BE6280">
              <w:rPr>
                <w:highlight w:val="yellow"/>
              </w:rPr>
              <w:t xml:space="preserve">The ACA Requirements document (specification) already requires ACAs to use the most recent versions of other industry standards.  </w:t>
            </w:r>
          </w:p>
          <w:p w:rsidR="006D74A2" w:rsidRPr="00BE6280" w:rsidRDefault="006D74A2" w:rsidP="002F194D">
            <w:pPr>
              <w:pStyle w:val="ListParagraph"/>
              <w:spacing w:before="120" w:after="120"/>
              <w:ind w:left="0"/>
              <w:rPr>
                <w:highlight w:val="yellow"/>
              </w:rPr>
            </w:pPr>
            <w:r w:rsidRPr="00BE6280">
              <w:rPr>
                <w:highlight w:val="yellow"/>
              </w:rPr>
              <w:t>CSS revised Section 1.1 of the specification to indicate the document contains the minim</w:t>
            </w:r>
            <w:r>
              <w:rPr>
                <w:highlight w:val="yellow"/>
              </w:rPr>
              <w:t>um</w:t>
            </w:r>
            <w:r w:rsidRPr="00BE6280">
              <w:rPr>
                <w:highlight w:val="yellow"/>
              </w:rPr>
              <w:t xml:space="preserve"> requirements ACAs must meet</w:t>
            </w:r>
            <w:r>
              <w:rPr>
                <w:highlight w:val="yellow"/>
              </w:rPr>
              <w:t xml:space="preserve">, including the NAESB standards.  </w:t>
            </w:r>
            <w:r w:rsidRPr="00BE6280">
              <w:rPr>
                <w:highlight w:val="yellow"/>
              </w:rPr>
              <w:t>These standards may be exceeded.</w:t>
            </w:r>
          </w:p>
        </w:tc>
      </w:tr>
      <w:tr w:rsidR="006D74A2" w:rsidRPr="00BE6280" w:rsidTr="002F194D">
        <w:tc>
          <w:tcPr>
            <w:tcW w:w="731" w:type="dxa"/>
          </w:tcPr>
          <w:p w:rsidR="006D74A2" w:rsidRPr="00BE6280" w:rsidRDefault="006D74A2" w:rsidP="002F194D">
            <w:pPr>
              <w:pStyle w:val="ListParagraph"/>
              <w:numPr>
                <w:ilvl w:val="0"/>
                <w:numId w:val="6"/>
              </w:numPr>
              <w:spacing w:before="120" w:after="120"/>
            </w:pPr>
          </w:p>
        </w:tc>
        <w:tc>
          <w:tcPr>
            <w:tcW w:w="1790" w:type="dxa"/>
          </w:tcPr>
          <w:p w:rsidR="006D74A2" w:rsidRPr="00BE6280" w:rsidRDefault="006D74A2" w:rsidP="002F194D">
            <w:pPr>
              <w:spacing w:before="120" w:after="120"/>
            </w:pPr>
            <w:r w:rsidRPr="00BE6280">
              <w:t>PKI Report Section 6.1.2 – Possible Incomplete Enforcement of NAESB Standards Assurance Levels (Page 11)</w:t>
            </w:r>
          </w:p>
          <w:p w:rsidR="006D74A2" w:rsidRPr="00BE6280" w:rsidRDefault="006D74A2" w:rsidP="002F194D">
            <w:pPr>
              <w:spacing w:before="120" w:after="120"/>
            </w:pPr>
          </w:p>
        </w:tc>
        <w:tc>
          <w:tcPr>
            <w:tcW w:w="3496" w:type="dxa"/>
          </w:tcPr>
          <w:p w:rsidR="006D74A2" w:rsidRPr="00BE6280" w:rsidRDefault="006D74A2" w:rsidP="002F194D">
            <w:pPr>
              <w:spacing w:before="120" w:after="120"/>
              <w:jc w:val="both"/>
            </w:pPr>
            <w:r w:rsidRPr="00BE6280">
              <w:t>Level: Low</w:t>
            </w:r>
          </w:p>
          <w:p w:rsidR="006D74A2" w:rsidRPr="00BE6280" w:rsidRDefault="006D74A2" w:rsidP="002F194D">
            <w:pPr>
              <w:spacing w:before="120" w:after="120"/>
              <w:jc w:val="both"/>
            </w:pPr>
            <w:r w:rsidRPr="00BE6280">
              <w:t xml:space="preserve">Investigate if “High” assurance level certificates have been issued and review if there needs to be changes to the retention period in either the NAESB standard, or in the </w:t>
            </w:r>
            <w:proofErr w:type="spellStart"/>
            <w:r w:rsidRPr="00BE6280">
              <w:t>GlobalSign</w:t>
            </w:r>
            <w:proofErr w:type="spellEnd"/>
            <w:r w:rsidRPr="00BE6280">
              <w:t xml:space="preserve"> CPS. (Note: Section 4.4 Records Retention Policy of the OATI CPS indicates records will be retained for “time </w:t>
            </w:r>
            <w:r w:rsidRPr="00BE6280">
              <w:lastRenderedPageBreak/>
              <w:t>periods required by applicable standards”.)</w:t>
            </w:r>
          </w:p>
        </w:tc>
        <w:tc>
          <w:tcPr>
            <w:tcW w:w="2342" w:type="dxa"/>
          </w:tcPr>
          <w:p w:rsidR="006D74A2" w:rsidRPr="00BE6280" w:rsidRDefault="006D74A2" w:rsidP="002F194D">
            <w:pPr>
              <w:spacing w:before="120" w:after="120"/>
            </w:pPr>
            <w:r w:rsidRPr="00BE6280">
              <w:lastRenderedPageBreak/>
              <w:t xml:space="preserve">Subcommittee should review the need to maintain a “High” assurance level and review all retention periods associated with each assurance level to determine if the requirements are still </w:t>
            </w:r>
            <w:r w:rsidRPr="00BE6280">
              <w:lastRenderedPageBreak/>
              <w:t xml:space="preserve">meeting industry needs and best practices.  </w:t>
            </w:r>
          </w:p>
        </w:tc>
        <w:tc>
          <w:tcPr>
            <w:tcW w:w="1923" w:type="dxa"/>
          </w:tcPr>
          <w:p w:rsidR="006D74A2" w:rsidRPr="00BE6280" w:rsidRDefault="006D74A2" w:rsidP="002F194D">
            <w:pPr>
              <w:pStyle w:val="ListParagraph"/>
              <w:spacing w:before="120" w:after="120"/>
              <w:ind w:left="0"/>
              <w:rPr>
                <w:highlight w:val="yellow"/>
              </w:rPr>
            </w:pPr>
            <w:r w:rsidRPr="00BE6280">
              <w:rPr>
                <w:highlight w:val="yellow"/>
              </w:rPr>
              <w:lastRenderedPageBreak/>
              <w:t xml:space="preserve">CSS determined to leave in the “High” assurance level in </w:t>
            </w:r>
            <w:r>
              <w:rPr>
                <w:highlight w:val="yellow"/>
              </w:rPr>
              <w:t xml:space="preserve">the </w:t>
            </w:r>
            <w:r w:rsidRPr="00BE6280">
              <w:rPr>
                <w:highlight w:val="yellow"/>
              </w:rPr>
              <w:t>case it may be used in the future.</w:t>
            </w:r>
            <w:r>
              <w:rPr>
                <w:highlight w:val="yellow"/>
              </w:rPr>
              <w:t>, at which point the retention period issue can be revisited.</w:t>
            </w:r>
          </w:p>
          <w:p w:rsidR="006D74A2" w:rsidRPr="00BE6280" w:rsidRDefault="006D74A2" w:rsidP="002F194D">
            <w:pPr>
              <w:pStyle w:val="ListParagraph"/>
              <w:spacing w:before="120" w:after="120"/>
              <w:ind w:left="0"/>
              <w:rPr>
                <w:highlight w:val="yellow"/>
              </w:rPr>
            </w:pPr>
            <w:proofErr w:type="gramStart"/>
            <w:r w:rsidRPr="00BE6280">
              <w:rPr>
                <w:highlight w:val="yellow"/>
              </w:rPr>
              <w:t>Furthermore</w:t>
            </w:r>
            <w:proofErr w:type="gramEnd"/>
            <w:r w:rsidRPr="00BE6280">
              <w:rPr>
                <w:highlight w:val="yellow"/>
              </w:rPr>
              <w:t xml:space="preserve"> </w:t>
            </w:r>
            <w:proofErr w:type="spellStart"/>
            <w:r w:rsidRPr="00BE6280">
              <w:rPr>
                <w:highlight w:val="yellow"/>
              </w:rPr>
              <w:t>Globalsign</w:t>
            </w:r>
            <w:proofErr w:type="spellEnd"/>
            <w:r w:rsidRPr="00BE6280">
              <w:rPr>
                <w:highlight w:val="yellow"/>
              </w:rPr>
              <w:t xml:space="preserve"> revised it </w:t>
            </w:r>
            <w:r w:rsidRPr="00BE6280">
              <w:rPr>
                <w:highlight w:val="yellow"/>
              </w:rPr>
              <w:lastRenderedPageBreak/>
              <w:t xml:space="preserve">CPS to address this advice regarding high assurance. </w:t>
            </w:r>
          </w:p>
        </w:tc>
      </w:tr>
    </w:tbl>
    <w:p w:rsidR="006D74A2" w:rsidRDefault="002F194D">
      <w:r>
        <w:lastRenderedPageBreak/>
        <w:br w:type="textWrapping" w:clear="all"/>
      </w:r>
    </w:p>
    <w:p w:rsidR="006D74A2" w:rsidRPr="009E07F2" w:rsidRDefault="006D74A2" w:rsidP="00BE4109">
      <w:pPr>
        <w:pStyle w:val="DefaultText"/>
        <w:tabs>
          <w:tab w:val="left" w:pos="1080"/>
        </w:tabs>
        <w:spacing w:before="120"/>
        <w:rPr>
          <w:rFonts w:ascii="Arial" w:hAnsi="Arial" w:cs="Arial"/>
          <w:b/>
          <w:sz w:val="20"/>
        </w:rPr>
      </w:pPr>
      <w:r>
        <w:rPr>
          <w:rFonts w:ascii="Arial" w:hAnsi="Arial" w:cs="Arial"/>
          <w:b/>
          <w:sz w:val="20"/>
        </w:rPr>
        <w:t>Additional Findings and Consideration</w:t>
      </w:r>
    </w:p>
    <w:p w:rsidR="006D74A2" w:rsidRDefault="006D74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1758"/>
        <w:gridCol w:w="3380"/>
        <w:gridCol w:w="2314"/>
        <w:gridCol w:w="1889"/>
      </w:tblGrid>
      <w:tr w:rsidR="006D74A2" w:rsidRPr="00BE6280" w:rsidTr="00702589">
        <w:tc>
          <w:tcPr>
            <w:tcW w:w="731" w:type="dxa"/>
          </w:tcPr>
          <w:p w:rsidR="006D74A2" w:rsidRPr="0075015B" w:rsidRDefault="006D74A2" w:rsidP="00973E99">
            <w:pPr>
              <w:spacing w:before="120" w:after="120"/>
              <w:jc w:val="right"/>
            </w:pPr>
            <w:r w:rsidRPr="0075015B">
              <w:t>4.</w:t>
            </w:r>
          </w:p>
        </w:tc>
        <w:tc>
          <w:tcPr>
            <w:tcW w:w="1790" w:type="dxa"/>
          </w:tcPr>
          <w:p w:rsidR="006D74A2" w:rsidRPr="0075015B" w:rsidRDefault="006D74A2" w:rsidP="00973E99">
            <w:pPr>
              <w:spacing w:before="120" w:after="120"/>
            </w:pPr>
            <w:r w:rsidRPr="0075015B">
              <w:t>PKI Report Section 6.3 – Review of X.509 Security (Page 12)</w:t>
            </w:r>
          </w:p>
        </w:tc>
        <w:tc>
          <w:tcPr>
            <w:tcW w:w="3496" w:type="dxa"/>
          </w:tcPr>
          <w:p w:rsidR="006D74A2" w:rsidRPr="0075015B" w:rsidRDefault="006D74A2" w:rsidP="00973E99">
            <w:pPr>
              <w:spacing w:before="120" w:after="120"/>
              <w:jc w:val="both"/>
            </w:pPr>
            <w:r w:rsidRPr="0075015B">
              <w:t>The assessment team recommends NAESB review the industry sources such as NIST NVD, ICS-CERT, US-CERT, SANS common weakness enumeration  as part of their annual assessment and consider adding verbiage for organizations that rely on X.509 certificates review their systems and software to determine if they are utilizing technologies that are affected by these vulnerabilities (or any others) and update their systems and software to a version that is not affected.</w:t>
            </w:r>
          </w:p>
          <w:p w:rsidR="006D74A2" w:rsidRPr="0075015B" w:rsidRDefault="006D74A2" w:rsidP="00973E99">
            <w:pPr>
              <w:spacing w:before="120" w:after="120"/>
              <w:jc w:val="both"/>
            </w:pPr>
            <w:r w:rsidRPr="0075015B">
              <w:t xml:space="preserve">Additionally, specific details on individual CVEs can be found in </w:t>
            </w:r>
            <w:hyperlink r:id="rId8" w:history="1">
              <w:r w:rsidRPr="0075015B">
                <w:rPr>
                  <w:rStyle w:val="Hyperlink"/>
                  <w:color w:val="0070C0"/>
                </w:rPr>
                <w:t>NIST’s NVD</w:t>
              </w:r>
            </w:hyperlink>
            <w:r w:rsidRPr="0075015B">
              <w:rPr>
                <w:color w:val="0070C0"/>
              </w:rPr>
              <w:t xml:space="preserve"> </w:t>
            </w:r>
            <w:r w:rsidRPr="0075015B">
              <w:t>along with “References to Advisories, Solutions, and Tools” for each CVE.</w:t>
            </w:r>
          </w:p>
        </w:tc>
        <w:tc>
          <w:tcPr>
            <w:tcW w:w="2342" w:type="dxa"/>
          </w:tcPr>
          <w:p w:rsidR="006D74A2" w:rsidRPr="0075015B" w:rsidRDefault="006D74A2" w:rsidP="00973E99">
            <w:pPr>
              <w:spacing w:before="120" w:after="120"/>
            </w:pPr>
            <w:r w:rsidRPr="0075015B">
              <w:t xml:space="preserve">As part of a recurring WEQ Annual Plan Item, the WEQ Cybersecurity performs an annual assessment on the WEQ-012 PKI Standards and the Accreditation Requirements for Authorized Certification Authorities </w:t>
            </w:r>
          </w:p>
          <w:p w:rsidR="006D74A2" w:rsidRPr="0075015B" w:rsidRDefault="006D74A2" w:rsidP="00973E99">
            <w:pPr>
              <w:spacing w:before="120" w:after="120"/>
            </w:pPr>
            <w:r w:rsidRPr="0075015B">
              <w:t>NAESB staff maintains a list of activities and documents for the WEQ Cybersecurity Subcommittee to review as part of the recurring annual plan items and can add this to the list.</w:t>
            </w:r>
          </w:p>
          <w:p w:rsidR="006D74A2" w:rsidRPr="0075015B" w:rsidRDefault="006D74A2" w:rsidP="00973E99">
            <w:pPr>
              <w:spacing w:before="120" w:after="120"/>
            </w:pPr>
            <w:r w:rsidRPr="0075015B">
              <w:t>The WEQ Cybersecurity Subcommittee already performs an annual assessment and can include review of the NIST NVD as part of this review.</w:t>
            </w:r>
          </w:p>
        </w:tc>
        <w:tc>
          <w:tcPr>
            <w:tcW w:w="1923" w:type="dxa"/>
          </w:tcPr>
          <w:p w:rsidR="006D74A2" w:rsidRPr="00573530" w:rsidRDefault="006D74A2" w:rsidP="00973E99">
            <w:pPr>
              <w:spacing w:before="120" w:after="120"/>
              <w:rPr>
                <w:highlight w:val="yellow"/>
              </w:rPr>
            </w:pPr>
            <w:r w:rsidRPr="00573530">
              <w:rPr>
                <w:highlight w:val="yellow"/>
              </w:rPr>
              <w:t xml:space="preserve">This is included as part of the recurring annual plan items, and the </w:t>
            </w:r>
            <w:r>
              <w:rPr>
                <w:highlight w:val="yellow"/>
              </w:rPr>
              <w:t>CSS</w:t>
            </w:r>
            <w:r w:rsidRPr="00573530">
              <w:rPr>
                <w:highlight w:val="yellow"/>
              </w:rPr>
              <w:t xml:space="preserve"> will incorporate these specific documents </w:t>
            </w:r>
            <w:r>
              <w:rPr>
                <w:highlight w:val="yellow"/>
              </w:rPr>
              <w:t>as necessary as pa</w:t>
            </w:r>
            <w:r w:rsidRPr="00573530">
              <w:rPr>
                <w:highlight w:val="yellow"/>
              </w:rPr>
              <w:t>rt of its annual review.</w:t>
            </w:r>
          </w:p>
        </w:tc>
      </w:tr>
      <w:tr w:rsidR="006D74A2" w:rsidRPr="00BE6280" w:rsidTr="00702589">
        <w:tc>
          <w:tcPr>
            <w:tcW w:w="731" w:type="dxa"/>
          </w:tcPr>
          <w:p w:rsidR="006D74A2" w:rsidRPr="0075015B" w:rsidRDefault="006D74A2" w:rsidP="00973E99">
            <w:pPr>
              <w:spacing w:before="120" w:after="120"/>
              <w:jc w:val="right"/>
            </w:pPr>
            <w:r w:rsidRPr="0075015B">
              <w:t>5.</w:t>
            </w:r>
          </w:p>
        </w:tc>
        <w:tc>
          <w:tcPr>
            <w:tcW w:w="1790" w:type="dxa"/>
          </w:tcPr>
          <w:p w:rsidR="006D74A2" w:rsidRPr="0075015B" w:rsidRDefault="006D74A2" w:rsidP="00973E99">
            <w:pPr>
              <w:spacing w:before="120" w:after="120"/>
            </w:pPr>
            <w:r w:rsidRPr="0075015B">
              <w:t>PKI Report Section 6.3 – Review of X.509 Security (Page 12)</w:t>
            </w:r>
          </w:p>
          <w:p w:rsidR="006D74A2" w:rsidRPr="0075015B" w:rsidRDefault="006D74A2" w:rsidP="00973E99">
            <w:pPr>
              <w:spacing w:before="120" w:after="120"/>
            </w:pPr>
          </w:p>
        </w:tc>
        <w:tc>
          <w:tcPr>
            <w:tcW w:w="3496" w:type="dxa"/>
          </w:tcPr>
          <w:p w:rsidR="006D74A2" w:rsidRPr="0075015B" w:rsidRDefault="006D74A2" w:rsidP="00973E99">
            <w:pPr>
              <w:spacing w:before="120" w:after="120"/>
              <w:jc w:val="both"/>
            </w:pPr>
            <w:r w:rsidRPr="0075015B">
              <w:t xml:space="preserve">As included in the Wholesale Gas Electronic Delivery Mechanism Related Standards and incorporated by FERC in 18 CFR 284.12, updating to the latest versions of available protocols as soon as practicable and not to exceed 9 months is a general best practice that organizations within the wholesale </w:t>
            </w:r>
            <w:r w:rsidRPr="0075015B">
              <w:lastRenderedPageBreak/>
              <w:t>electric quadrant and users of X.509 certificates should also follow. NAESB may want to consider the development of similar wholesale electric business practice standards.</w:t>
            </w:r>
          </w:p>
        </w:tc>
        <w:tc>
          <w:tcPr>
            <w:tcW w:w="2342" w:type="dxa"/>
          </w:tcPr>
          <w:p w:rsidR="006D74A2" w:rsidRPr="0075015B" w:rsidRDefault="006D74A2" w:rsidP="00973E99">
            <w:pPr>
              <w:spacing w:before="120" w:after="120"/>
            </w:pPr>
            <w:r w:rsidRPr="0075015B">
              <w:lastRenderedPageBreak/>
              <w:t>The WGQ EDM Manual Appendices B and D state entities should seek to utilize the latest generally available version of a software/protocol within 9 months of such version becoming available</w:t>
            </w:r>
          </w:p>
          <w:p w:rsidR="006D74A2" w:rsidRPr="0075015B" w:rsidRDefault="006D74A2" w:rsidP="00973E99">
            <w:pPr>
              <w:spacing w:before="120" w:after="120"/>
            </w:pPr>
            <w:r w:rsidRPr="0075015B">
              <w:lastRenderedPageBreak/>
              <w:t>Subcommittee should consider the applicability/benefit or such a requirement for WEQ Standards</w:t>
            </w:r>
          </w:p>
        </w:tc>
        <w:tc>
          <w:tcPr>
            <w:tcW w:w="1923" w:type="dxa"/>
          </w:tcPr>
          <w:p w:rsidR="006D74A2" w:rsidRPr="009312B6" w:rsidRDefault="006D74A2" w:rsidP="00973E99">
            <w:pPr>
              <w:spacing w:before="120" w:after="120"/>
              <w:rPr>
                <w:highlight w:val="yellow"/>
              </w:rPr>
            </w:pPr>
            <w:r w:rsidRPr="009312B6">
              <w:rPr>
                <w:highlight w:val="yellow"/>
              </w:rPr>
              <w:lastRenderedPageBreak/>
              <w:t xml:space="preserve">The ACA </w:t>
            </w:r>
            <w:proofErr w:type="gramStart"/>
            <w:r w:rsidRPr="009312B6">
              <w:rPr>
                <w:highlight w:val="yellow"/>
              </w:rPr>
              <w:t xml:space="preserve">Specification </w:t>
            </w:r>
            <w:r>
              <w:rPr>
                <w:highlight w:val="yellow"/>
              </w:rPr>
              <w:t xml:space="preserve"> already</w:t>
            </w:r>
            <w:proofErr w:type="gramEnd"/>
            <w:r>
              <w:rPr>
                <w:highlight w:val="yellow"/>
              </w:rPr>
              <w:t xml:space="preserve"> </w:t>
            </w:r>
            <w:r w:rsidRPr="009312B6">
              <w:rPr>
                <w:highlight w:val="yellow"/>
              </w:rPr>
              <w:t>requires</w:t>
            </w:r>
            <w:r>
              <w:rPr>
                <w:highlight w:val="yellow"/>
              </w:rPr>
              <w:t xml:space="preserve"> that</w:t>
            </w:r>
            <w:r w:rsidRPr="009312B6">
              <w:rPr>
                <w:highlight w:val="yellow"/>
              </w:rPr>
              <w:t xml:space="preserve"> ACAs use the most </w:t>
            </w:r>
            <w:r>
              <w:rPr>
                <w:highlight w:val="yellow"/>
              </w:rPr>
              <w:t xml:space="preserve">current </w:t>
            </w:r>
            <w:r w:rsidRPr="009312B6">
              <w:rPr>
                <w:highlight w:val="yellow"/>
              </w:rPr>
              <w:t>versions of protocols.</w:t>
            </w:r>
          </w:p>
          <w:p w:rsidR="006D74A2" w:rsidRPr="0075015B" w:rsidRDefault="006D74A2" w:rsidP="00973E99">
            <w:pPr>
              <w:spacing w:before="120" w:after="120"/>
            </w:pPr>
            <w:r w:rsidRPr="009312B6">
              <w:rPr>
                <w:highlight w:val="yellow"/>
              </w:rPr>
              <w:t xml:space="preserve">The subcommittee believes that no </w:t>
            </w:r>
            <w:r w:rsidRPr="009312B6">
              <w:rPr>
                <w:highlight w:val="yellow"/>
              </w:rPr>
              <w:lastRenderedPageBreak/>
              <w:t>additional WEQ-012 standards are necessary, based on the current versioning requirements in the specification.</w:t>
            </w:r>
          </w:p>
        </w:tc>
      </w:tr>
      <w:tr w:rsidR="006D74A2" w:rsidRPr="00BE6280" w:rsidTr="00702589">
        <w:tc>
          <w:tcPr>
            <w:tcW w:w="731" w:type="dxa"/>
          </w:tcPr>
          <w:p w:rsidR="006D74A2" w:rsidRPr="0075015B" w:rsidRDefault="006D74A2" w:rsidP="00973E99">
            <w:pPr>
              <w:spacing w:before="120" w:after="120"/>
              <w:jc w:val="right"/>
            </w:pPr>
            <w:r w:rsidRPr="0075015B">
              <w:lastRenderedPageBreak/>
              <w:t>9.</w:t>
            </w:r>
          </w:p>
        </w:tc>
        <w:tc>
          <w:tcPr>
            <w:tcW w:w="1790" w:type="dxa"/>
          </w:tcPr>
          <w:p w:rsidR="006D74A2" w:rsidRPr="0075015B" w:rsidRDefault="006D74A2" w:rsidP="00973E99">
            <w:pPr>
              <w:spacing w:before="120" w:after="120"/>
            </w:pPr>
            <w:r w:rsidRPr="0075015B">
              <w:t>Business Operations Practices and Standards Report – Section 6.1.6 Continued Use of Different Security Paradigms (Pages 13 – 15)</w:t>
            </w:r>
          </w:p>
          <w:p w:rsidR="006D74A2" w:rsidRPr="0075015B" w:rsidRDefault="006D74A2" w:rsidP="00973E99">
            <w:pPr>
              <w:spacing w:before="120" w:after="120"/>
            </w:pPr>
            <w:r w:rsidRPr="0075015B">
              <w:t>(Table of Contents Section 6.2.3 Gas and Electric Industry Interactions)</w:t>
            </w:r>
          </w:p>
        </w:tc>
        <w:tc>
          <w:tcPr>
            <w:tcW w:w="3496" w:type="dxa"/>
          </w:tcPr>
          <w:p w:rsidR="006D74A2" w:rsidRPr="0075015B" w:rsidRDefault="006D74A2" w:rsidP="00973E99">
            <w:pPr>
              <w:spacing w:before="120" w:after="120"/>
            </w:pPr>
            <w:r w:rsidRPr="0075015B">
              <w:t>Both PGP and PKI provide adequate security provided they are properly configured and NIST - 131A encryption and decryptions denotes AES encryption and decryption as acceptable. NIST - 131A makes allowance for some legacy encryption and decryption algorithms, the assessment team recommends removal of legacy support and a minimum encryption strength of 128 bits. This is consistent with NAESB Internet Electronic Transport standards which requires 128-bit strength encryption.</w:t>
            </w:r>
          </w:p>
        </w:tc>
        <w:tc>
          <w:tcPr>
            <w:tcW w:w="2342" w:type="dxa"/>
          </w:tcPr>
          <w:p w:rsidR="006D74A2" w:rsidRPr="0075015B" w:rsidRDefault="006D74A2" w:rsidP="00973E99">
            <w:pPr>
              <w:spacing w:before="120" w:after="120"/>
            </w:pPr>
            <w:r w:rsidRPr="0075015B">
              <w:t>Subcommittees should review the standards for legacy support references and remove as recommended.</w:t>
            </w:r>
          </w:p>
        </w:tc>
        <w:tc>
          <w:tcPr>
            <w:tcW w:w="1923" w:type="dxa"/>
          </w:tcPr>
          <w:p w:rsidR="006D74A2" w:rsidRDefault="006D74A2" w:rsidP="00973E99">
            <w:pPr>
              <w:spacing w:before="120" w:after="120"/>
              <w:rPr>
                <w:highlight w:val="yellow"/>
              </w:rPr>
            </w:pPr>
            <w:r w:rsidRPr="009312B6">
              <w:rPr>
                <w:highlight w:val="yellow"/>
              </w:rPr>
              <w:t>CSS changed the key lengths and encryption methods, in section 5.1</w:t>
            </w:r>
            <w:r w:rsidR="00DC54B4">
              <w:rPr>
                <w:highlight w:val="yellow"/>
              </w:rPr>
              <w:t>.</w:t>
            </w:r>
            <w:r w:rsidRPr="009312B6">
              <w:rPr>
                <w:highlight w:val="yellow"/>
              </w:rPr>
              <w:t>6 of the specification</w:t>
            </w:r>
            <w:r>
              <w:rPr>
                <w:highlight w:val="yellow"/>
              </w:rPr>
              <w:t xml:space="preserve"> to reflect the most current industry guidelines and best practices.</w:t>
            </w:r>
          </w:p>
          <w:p w:rsidR="006D74A2" w:rsidRPr="009312B6" w:rsidRDefault="006D74A2" w:rsidP="00973E99">
            <w:pPr>
              <w:spacing w:before="120" w:after="120"/>
              <w:rPr>
                <w:highlight w:val="yellow"/>
              </w:rPr>
            </w:pPr>
            <w:r w:rsidRPr="009312B6">
              <w:rPr>
                <w:highlight w:val="yellow"/>
              </w:rPr>
              <w:t>Th</w:t>
            </w:r>
            <w:r w:rsidR="00EC03E0">
              <w:rPr>
                <w:highlight w:val="yellow"/>
              </w:rPr>
              <w:t xml:space="preserve">is change removes </w:t>
            </w:r>
            <w:r w:rsidR="00570994">
              <w:rPr>
                <w:highlight w:val="yellow"/>
              </w:rPr>
              <w:t xml:space="preserve">the </w:t>
            </w:r>
            <w:r w:rsidR="00EC03E0">
              <w:rPr>
                <w:highlight w:val="yellow"/>
              </w:rPr>
              <w:t xml:space="preserve">legacy attributes. </w:t>
            </w:r>
          </w:p>
        </w:tc>
      </w:tr>
      <w:tr w:rsidR="006D74A2" w:rsidRPr="00BE6280" w:rsidTr="00702589">
        <w:tc>
          <w:tcPr>
            <w:tcW w:w="731" w:type="dxa"/>
          </w:tcPr>
          <w:p w:rsidR="006D74A2" w:rsidRPr="0075015B" w:rsidRDefault="006D74A2" w:rsidP="00973E99">
            <w:pPr>
              <w:spacing w:before="120" w:after="120"/>
              <w:jc w:val="right"/>
            </w:pPr>
            <w:r w:rsidRPr="0075015B">
              <w:t>12.</w:t>
            </w:r>
          </w:p>
        </w:tc>
        <w:tc>
          <w:tcPr>
            <w:tcW w:w="1790" w:type="dxa"/>
          </w:tcPr>
          <w:p w:rsidR="006D74A2" w:rsidRPr="0075015B" w:rsidRDefault="006D74A2" w:rsidP="00973E99">
            <w:pPr>
              <w:spacing w:before="120" w:after="120"/>
            </w:pPr>
            <w:r w:rsidRPr="0075015B">
              <w:t>Business Operations Practices and Standards Report – Section 6.1.6 Continued Use of Different Security Paradigms (Pages 13 – 15)</w:t>
            </w:r>
          </w:p>
          <w:p w:rsidR="006D74A2" w:rsidRPr="0075015B" w:rsidRDefault="006D74A2" w:rsidP="00973E99">
            <w:pPr>
              <w:spacing w:before="120" w:after="120"/>
            </w:pPr>
            <w:r w:rsidRPr="0075015B">
              <w:t>(Table of Contents Section 6.2.3 Gas and Electric Industry Interactions)</w:t>
            </w:r>
          </w:p>
        </w:tc>
        <w:tc>
          <w:tcPr>
            <w:tcW w:w="3496" w:type="dxa"/>
          </w:tcPr>
          <w:p w:rsidR="006D74A2" w:rsidRPr="0075015B" w:rsidRDefault="006D74A2" w:rsidP="00973E99">
            <w:pPr>
              <w:spacing w:before="120" w:after="120"/>
            </w:pPr>
            <w:r w:rsidRPr="0075015B">
              <w:t>Key lengths must be updated to reflect current acceptable encryption strength</w:t>
            </w:r>
            <w:r w:rsidRPr="0075015B">
              <w:rPr>
                <w:rStyle w:val="FootnoteReference"/>
              </w:rPr>
              <w:footnoteReference w:id="1"/>
            </w:r>
            <w:r w:rsidRPr="0075015B">
              <w:t xml:space="preserve">. Specifically, RSA keys must be no shorter than 2048 bits, while ECDSA keys must be no shorter than 224 bits. Hash algorithms should be from the SHA-2 or SHA-3 families. Acceptable AES key lengths range from 128, to 192, to 256. In general, implementors should use the largest feasible key length consistent with implementation of current business processes. In order to be in compliance with these stronger algorithms, any PGP command line clients should be at version 9 or greater as earlier versions did not support SHA-2 or SHA-3 </w:t>
            </w:r>
            <w:r w:rsidRPr="0075015B">
              <w:lastRenderedPageBreak/>
              <w:t>family hashing algorithms or fully support AES</w:t>
            </w:r>
            <w:r w:rsidRPr="0075015B">
              <w:rPr>
                <w:rStyle w:val="FootnoteReference"/>
              </w:rPr>
              <w:footnoteReference w:id="2"/>
            </w:r>
            <w:r w:rsidRPr="0075015B">
              <w:t>.</w:t>
            </w:r>
          </w:p>
        </w:tc>
        <w:tc>
          <w:tcPr>
            <w:tcW w:w="2342" w:type="dxa"/>
          </w:tcPr>
          <w:p w:rsidR="006D74A2" w:rsidRPr="0075015B" w:rsidRDefault="006D74A2" w:rsidP="00973E99">
            <w:pPr>
              <w:spacing w:before="120" w:after="120"/>
            </w:pPr>
            <w:r w:rsidRPr="0075015B">
              <w:lastRenderedPageBreak/>
              <w:t xml:space="preserve">Review and revise as recommended the NAESB Accreditation Requirements for Certificate Authorities (Section 5.1.6 Key Sizes) currently specifies: </w:t>
            </w:r>
          </w:p>
          <w:p w:rsidR="006D74A2" w:rsidRPr="0075015B" w:rsidRDefault="006D74A2" w:rsidP="00973E99">
            <w:pPr>
              <w:pStyle w:val="ListParagraph"/>
              <w:numPr>
                <w:ilvl w:val="0"/>
                <w:numId w:val="7"/>
              </w:numPr>
              <w:spacing w:before="120" w:after="120"/>
            </w:pPr>
            <w:proofErr w:type="gramStart"/>
            <w:r w:rsidRPr="0075015B">
              <w:t>2048 bit</w:t>
            </w:r>
            <w:proofErr w:type="gramEnd"/>
            <w:r w:rsidRPr="0075015B">
              <w:t xml:space="preserve"> RSA/DSA key length and 160 bit ECDSA key length</w:t>
            </w:r>
          </w:p>
          <w:p w:rsidR="006D74A2" w:rsidRPr="0075015B" w:rsidRDefault="006D74A2" w:rsidP="00973E99">
            <w:pPr>
              <w:pStyle w:val="ListParagraph"/>
              <w:numPr>
                <w:ilvl w:val="0"/>
                <w:numId w:val="7"/>
              </w:numPr>
              <w:spacing w:before="120" w:after="120"/>
            </w:pPr>
            <w:proofErr w:type="gramStart"/>
            <w:r w:rsidRPr="0075015B">
              <w:t>4096 bit</w:t>
            </w:r>
            <w:proofErr w:type="gramEnd"/>
            <w:r w:rsidRPr="0075015B">
              <w:t xml:space="preserve"> RSA/DSA key length and 256 bit ECDSA key length for </w:t>
            </w:r>
            <w:r w:rsidRPr="0075015B">
              <w:lastRenderedPageBreak/>
              <w:t>certificates expiring after 12/31/2012</w:t>
            </w:r>
          </w:p>
          <w:p w:rsidR="006D74A2" w:rsidRPr="0075015B" w:rsidRDefault="006D74A2" w:rsidP="00973E99">
            <w:pPr>
              <w:pStyle w:val="ListParagraph"/>
              <w:numPr>
                <w:ilvl w:val="0"/>
                <w:numId w:val="7"/>
              </w:numPr>
              <w:spacing w:before="120" w:after="120"/>
            </w:pPr>
            <w:proofErr w:type="gramStart"/>
            <w:r w:rsidRPr="0075015B">
              <w:t>3072 bit</w:t>
            </w:r>
            <w:proofErr w:type="gramEnd"/>
            <w:r w:rsidRPr="0075015B">
              <w:t xml:space="preserve"> RSA/DSA for certificates expiring after 12/31/2030</w:t>
            </w:r>
          </w:p>
          <w:p w:rsidR="006D74A2" w:rsidRPr="0075015B" w:rsidRDefault="006D74A2" w:rsidP="00973E99">
            <w:pPr>
              <w:pStyle w:val="ListParagraph"/>
              <w:numPr>
                <w:ilvl w:val="0"/>
                <w:numId w:val="7"/>
              </w:numPr>
              <w:spacing w:before="120" w:after="120"/>
            </w:pPr>
            <w:r w:rsidRPr="0075015B">
              <w:t xml:space="preserve">SHA-1, SHA-224, SHA-256, SHA-384, or SHA-512 has algorithms </w:t>
            </w:r>
          </w:p>
        </w:tc>
        <w:tc>
          <w:tcPr>
            <w:tcW w:w="1923" w:type="dxa"/>
          </w:tcPr>
          <w:p w:rsidR="006D74A2" w:rsidRPr="0075015B" w:rsidRDefault="006D74A2" w:rsidP="00973E99">
            <w:pPr>
              <w:spacing w:before="120" w:after="120"/>
            </w:pPr>
            <w:r w:rsidRPr="009312B6">
              <w:rPr>
                <w:highlight w:val="yellow"/>
              </w:rPr>
              <w:lastRenderedPageBreak/>
              <w:t>CSS changed the key lengths and encryption methods, in section 5.1</w:t>
            </w:r>
            <w:r w:rsidR="00DC54B4">
              <w:rPr>
                <w:highlight w:val="yellow"/>
              </w:rPr>
              <w:t>.</w:t>
            </w:r>
            <w:r w:rsidRPr="009312B6">
              <w:rPr>
                <w:highlight w:val="yellow"/>
              </w:rPr>
              <w:t>6 of the specification</w:t>
            </w:r>
            <w:r>
              <w:rPr>
                <w:highlight w:val="yellow"/>
              </w:rPr>
              <w:t xml:space="preserve"> to reflect the most current industry guidelines and best practices.</w:t>
            </w:r>
            <w:r w:rsidRPr="009312B6">
              <w:rPr>
                <w:highlight w:val="yellow"/>
              </w:rPr>
              <w:t xml:space="preserve">  </w:t>
            </w:r>
          </w:p>
        </w:tc>
      </w:tr>
    </w:tbl>
    <w:p w:rsidR="006D74A2" w:rsidRDefault="006D74A2" w:rsidP="00644DCC">
      <w:pPr>
        <w:pStyle w:val="DefaultText"/>
        <w:spacing w:before="120"/>
        <w:rPr>
          <w:rFonts w:ascii="Arial" w:hAnsi="Arial" w:cs="Arial"/>
          <w:sz w:val="22"/>
        </w:rPr>
      </w:pPr>
    </w:p>
    <w:p w:rsidR="006D74A2" w:rsidRDefault="006D74A2" w:rsidP="003362B8">
      <w:pPr>
        <w:pStyle w:val="DefaultText"/>
        <w:tabs>
          <w:tab w:val="left" w:pos="1080"/>
        </w:tabs>
        <w:spacing w:before="120"/>
        <w:rPr>
          <w:rFonts w:ascii="Arial" w:hAnsi="Arial" w:cs="Arial"/>
          <w:b/>
          <w:sz w:val="20"/>
        </w:rPr>
      </w:pPr>
      <w:r>
        <w:rPr>
          <w:rFonts w:ascii="Arial" w:hAnsi="Arial" w:cs="Arial"/>
          <w:b/>
          <w:sz w:val="20"/>
        </w:rPr>
        <w:t>Joint Cyber Security Subcommittee / OASIS Subcommittee Assignments</w:t>
      </w:r>
    </w:p>
    <w:p w:rsidR="006D74A2" w:rsidRPr="003362B8" w:rsidRDefault="006D74A2" w:rsidP="003362B8">
      <w:pPr>
        <w:pStyle w:val="DefaultText"/>
        <w:tabs>
          <w:tab w:val="left" w:pos="1080"/>
        </w:tabs>
        <w:spacing w:before="120"/>
        <w:rPr>
          <w:rFonts w:ascii="Arial" w:hAnsi="Arial" w:cs="Arial"/>
          <w:sz w:val="20"/>
        </w:rPr>
      </w:pPr>
      <w:r w:rsidRPr="003362B8">
        <w:rPr>
          <w:rFonts w:ascii="Arial" w:hAnsi="Arial" w:cs="Arial"/>
          <w:sz w:val="20"/>
        </w:rPr>
        <w:t xml:space="preserve">The issues listed below were addressed in the Joint OASIS / CSS </w:t>
      </w:r>
      <w:r>
        <w:rPr>
          <w:rFonts w:ascii="Arial" w:hAnsi="Arial" w:cs="Arial"/>
          <w:sz w:val="20"/>
        </w:rPr>
        <w:t xml:space="preserve">Recommendation.  Where CSS undertook changes to the ACA specification on </w:t>
      </w:r>
      <w:proofErr w:type="spellStart"/>
      <w:proofErr w:type="gramStart"/>
      <w:r>
        <w:rPr>
          <w:rFonts w:ascii="Arial" w:hAnsi="Arial" w:cs="Arial"/>
          <w:sz w:val="20"/>
        </w:rPr>
        <w:t>it's</w:t>
      </w:r>
      <w:proofErr w:type="spellEnd"/>
      <w:proofErr w:type="gramEnd"/>
      <w:r>
        <w:rPr>
          <w:rFonts w:ascii="Arial" w:hAnsi="Arial" w:cs="Arial"/>
          <w:sz w:val="20"/>
        </w:rPr>
        <w:t xml:space="preserve"> own these are specifically noted.</w:t>
      </w:r>
    </w:p>
    <w:p w:rsidR="006D74A2" w:rsidRDefault="006D74A2" w:rsidP="00644DCC">
      <w:pPr>
        <w:pStyle w:val="DefaultText"/>
        <w:spacing w:before="12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1761"/>
        <w:gridCol w:w="3345"/>
        <w:gridCol w:w="2315"/>
        <w:gridCol w:w="1903"/>
      </w:tblGrid>
      <w:tr w:rsidR="006D74A2" w:rsidTr="00F04493">
        <w:trPr>
          <w:tblHeader/>
        </w:trPr>
        <w:tc>
          <w:tcPr>
            <w:tcW w:w="732" w:type="dxa"/>
          </w:tcPr>
          <w:p w:rsidR="006D74A2" w:rsidRPr="00BE6280" w:rsidRDefault="006D74A2" w:rsidP="00973E99">
            <w:pPr>
              <w:keepNext/>
              <w:keepLines/>
              <w:widowControl w:val="0"/>
              <w:spacing w:before="120" w:after="120"/>
              <w:rPr>
                <w:b/>
              </w:rPr>
            </w:pPr>
            <w:r w:rsidRPr="00BE6280">
              <w:rPr>
                <w:b/>
              </w:rPr>
              <w:t>Issue</w:t>
            </w:r>
          </w:p>
        </w:tc>
        <w:tc>
          <w:tcPr>
            <w:tcW w:w="1761" w:type="dxa"/>
          </w:tcPr>
          <w:p w:rsidR="006D74A2" w:rsidRPr="00BE6280" w:rsidRDefault="006D74A2" w:rsidP="00973E99">
            <w:pPr>
              <w:keepNext/>
              <w:keepLines/>
              <w:widowControl w:val="0"/>
              <w:spacing w:before="120" w:after="120"/>
              <w:rPr>
                <w:b/>
              </w:rPr>
            </w:pPr>
            <w:r w:rsidRPr="00BE6280">
              <w:rPr>
                <w:b/>
              </w:rPr>
              <w:t>Report Section (Page Number)</w:t>
            </w:r>
          </w:p>
        </w:tc>
        <w:tc>
          <w:tcPr>
            <w:tcW w:w="3345" w:type="dxa"/>
          </w:tcPr>
          <w:p w:rsidR="006D74A2" w:rsidRPr="00BE6280" w:rsidRDefault="006D74A2" w:rsidP="00973E99">
            <w:pPr>
              <w:keepNext/>
              <w:keepLines/>
              <w:widowControl w:val="0"/>
              <w:spacing w:before="120" w:after="120"/>
              <w:jc w:val="both"/>
              <w:rPr>
                <w:b/>
              </w:rPr>
            </w:pPr>
            <w:r w:rsidRPr="00BE6280">
              <w:rPr>
                <w:b/>
              </w:rPr>
              <w:t>Sandia Recommendation</w:t>
            </w:r>
          </w:p>
        </w:tc>
        <w:tc>
          <w:tcPr>
            <w:tcW w:w="2315" w:type="dxa"/>
          </w:tcPr>
          <w:p w:rsidR="006D74A2" w:rsidRPr="00BE6280" w:rsidRDefault="006D74A2" w:rsidP="00973E99">
            <w:pPr>
              <w:keepNext/>
              <w:keepLines/>
              <w:widowControl w:val="0"/>
              <w:spacing w:before="120" w:after="120"/>
              <w:rPr>
                <w:b/>
              </w:rPr>
            </w:pPr>
            <w:r w:rsidRPr="00BE6280">
              <w:rPr>
                <w:b/>
              </w:rPr>
              <w:t>Recommended Standards Development Activity</w:t>
            </w:r>
          </w:p>
        </w:tc>
        <w:tc>
          <w:tcPr>
            <w:tcW w:w="1903" w:type="dxa"/>
          </w:tcPr>
          <w:p w:rsidR="006D74A2" w:rsidRPr="00BE6280" w:rsidRDefault="006D74A2" w:rsidP="00973E99">
            <w:pPr>
              <w:keepNext/>
              <w:keepLines/>
              <w:widowControl w:val="0"/>
              <w:spacing w:before="120" w:after="120"/>
              <w:rPr>
                <w:b/>
              </w:rPr>
            </w:pPr>
            <w:r w:rsidRPr="00BE6280">
              <w:rPr>
                <w:b/>
              </w:rPr>
              <w:t>Recommendation Action</w:t>
            </w:r>
          </w:p>
        </w:tc>
      </w:tr>
      <w:tr w:rsidR="006D74A2" w:rsidTr="00F04493">
        <w:tc>
          <w:tcPr>
            <w:tcW w:w="732" w:type="dxa"/>
          </w:tcPr>
          <w:p w:rsidR="006D74A2" w:rsidRPr="0075015B" w:rsidRDefault="006D74A2" w:rsidP="00973E99">
            <w:pPr>
              <w:spacing w:before="120" w:after="120"/>
              <w:ind w:left="360"/>
            </w:pPr>
            <w:r w:rsidRPr="0075015B">
              <w:t>2.</w:t>
            </w:r>
          </w:p>
        </w:tc>
        <w:tc>
          <w:tcPr>
            <w:tcW w:w="1761" w:type="dxa"/>
          </w:tcPr>
          <w:p w:rsidR="006D74A2" w:rsidRPr="0075015B" w:rsidRDefault="006D74A2" w:rsidP="00973E99">
            <w:pPr>
              <w:spacing w:before="120" w:after="120"/>
            </w:pPr>
            <w:r w:rsidRPr="0075015B">
              <w:t xml:space="preserve">OASIS Report Section 6.1.1 – Significant Amounts of Sensitive Information are Posted on OASIS (Pages 11 – 12) </w:t>
            </w:r>
          </w:p>
        </w:tc>
        <w:tc>
          <w:tcPr>
            <w:tcW w:w="3345" w:type="dxa"/>
          </w:tcPr>
          <w:p w:rsidR="006D74A2" w:rsidRPr="0075015B" w:rsidRDefault="006D74A2" w:rsidP="00973E99">
            <w:pPr>
              <w:spacing w:before="120" w:after="120"/>
              <w:jc w:val="both"/>
            </w:pPr>
            <w:r w:rsidRPr="0075015B">
              <w:t>Level: Low</w:t>
            </w:r>
          </w:p>
          <w:p w:rsidR="006D74A2" w:rsidRPr="0075015B" w:rsidRDefault="006D74A2" w:rsidP="00973E99">
            <w:pPr>
              <w:spacing w:before="120" w:after="120"/>
              <w:jc w:val="both"/>
            </w:pPr>
            <w:r w:rsidRPr="0075015B">
              <w:t>The assessment team recommends review of NIST SP 800-63-3 section 4.1.1 and review for implementation new approved technologies supporting authentication methods.</w:t>
            </w:r>
          </w:p>
        </w:tc>
        <w:tc>
          <w:tcPr>
            <w:tcW w:w="2315" w:type="dxa"/>
          </w:tcPr>
          <w:p w:rsidR="006D74A2" w:rsidRPr="0075015B" w:rsidRDefault="006D74A2" w:rsidP="00973E99">
            <w:pPr>
              <w:spacing w:before="120" w:after="120"/>
            </w:pPr>
            <w:r w:rsidRPr="0075015B">
              <w:t xml:space="preserve">There is not a Section 4.1.1 in NIST SP 800-63-3, but </w:t>
            </w:r>
            <w:hyperlink r:id="rId9" w:history="1">
              <w:r w:rsidRPr="0075015B">
                <w:rPr>
                  <w:rStyle w:val="Hyperlink"/>
                  <w:color w:val="0070C0"/>
                </w:rPr>
                <w:t>NIST SP 800-63-3B Authentication and Lifecycle Management</w:t>
              </w:r>
            </w:hyperlink>
            <w:r w:rsidRPr="0075015B">
              <w:t xml:space="preserve"> does have a Section 4.1.1 Permitted Authenticator Types that identify nine different authenticator types and Section 5 Authenticator and Verifier Requirements contain detailed requirements for each type of authenticator. </w:t>
            </w:r>
          </w:p>
          <w:p w:rsidR="006D74A2" w:rsidRPr="0075015B" w:rsidRDefault="006D74A2" w:rsidP="00973E99">
            <w:pPr>
              <w:spacing w:before="120" w:after="120"/>
            </w:pPr>
            <w:r w:rsidRPr="0075015B">
              <w:lastRenderedPageBreak/>
              <w:t>The Addendum Report Section 2.3.2 states that the authentication method in the OASIS Standards (WEQ-002-5.1.1) is considered adequate and consistent with current business practices</w:t>
            </w:r>
          </w:p>
          <w:p w:rsidR="006D74A2" w:rsidRPr="0075015B" w:rsidRDefault="006D74A2" w:rsidP="00973E99">
            <w:pPr>
              <w:spacing w:before="120" w:after="120"/>
            </w:pPr>
            <w:r w:rsidRPr="0075015B">
              <w:t>Review the current OASIS requirements for authentication, especially regarding passwords, against the recommended best practices in NIST SP 800-63-3B and revise standards as needed.</w:t>
            </w:r>
          </w:p>
        </w:tc>
        <w:tc>
          <w:tcPr>
            <w:tcW w:w="1903" w:type="dxa"/>
          </w:tcPr>
          <w:p w:rsidR="006D74A2" w:rsidRPr="0075015B" w:rsidRDefault="006D74A2" w:rsidP="00973E99">
            <w:pPr>
              <w:pStyle w:val="ListParagraph"/>
              <w:spacing w:before="120" w:after="120"/>
              <w:ind w:left="0"/>
            </w:pPr>
            <w:r w:rsidRPr="003362B8">
              <w:rPr>
                <w:highlight w:val="yellow"/>
              </w:rPr>
              <w:lastRenderedPageBreak/>
              <w:t xml:space="preserve">Issue addressed in </w:t>
            </w:r>
            <w:r>
              <w:rPr>
                <w:highlight w:val="yellow"/>
              </w:rPr>
              <w:t xml:space="preserve">the </w:t>
            </w:r>
            <w:r w:rsidRPr="003362B8">
              <w:rPr>
                <w:highlight w:val="yellow"/>
              </w:rPr>
              <w:t>joint OASIS/CSS Recommendation.</w:t>
            </w:r>
          </w:p>
        </w:tc>
      </w:tr>
      <w:tr w:rsidR="006D74A2" w:rsidRPr="00BE6280" w:rsidTr="00F04493">
        <w:tc>
          <w:tcPr>
            <w:tcW w:w="732" w:type="dxa"/>
          </w:tcPr>
          <w:p w:rsidR="006D74A2" w:rsidRPr="0075015B" w:rsidRDefault="006D74A2" w:rsidP="00653C0F">
            <w:pPr>
              <w:pStyle w:val="ListParagraph"/>
              <w:numPr>
                <w:ilvl w:val="0"/>
                <w:numId w:val="6"/>
              </w:numPr>
              <w:spacing w:before="120" w:after="120"/>
              <w:ind w:left="720"/>
            </w:pPr>
          </w:p>
        </w:tc>
        <w:tc>
          <w:tcPr>
            <w:tcW w:w="1761" w:type="dxa"/>
          </w:tcPr>
          <w:p w:rsidR="006D74A2" w:rsidRPr="0075015B" w:rsidRDefault="006D74A2" w:rsidP="00973E99">
            <w:pPr>
              <w:spacing w:before="120" w:after="120"/>
            </w:pPr>
            <w:r w:rsidRPr="0075015B">
              <w:t>OASIS Report Section 6.1.1 – Significant Amounts of Sensitive Information are Posted on OASIS</w:t>
            </w:r>
          </w:p>
        </w:tc>
        <w:tc>
          <w:tcPr>
            <w:tcW w:w="3345" w:type="dxa"/>
          </w:tcPr>
          <w:p w:rsidR="006D74A2" w:rsidRPr="0075015B" w:rsidRDefault="006D74A2" w:rsidP="00973E99">
            <w:pPr>
              <w:spacing w:before="120" w:after="120"/>
              <w:jc w:val="both"/>
            </w:pPr>
            <w:r w:rsidRPr="0075015B">
              <w:t>Level: Low</w:t>
            </w:r>
          </w:p>
          <w:p w:rsidR="006D74A2" w:rsidRPr="0075015B" w:rsidRDefault="006D74A2" w:rsidP="00973E99">
            <w:pPr>
              <w:spacing w:before="120" w:after="120"/>
              <w:jc w:val="both"/>
            </w:pPr>
            <w:r w:rsidRPr="0075015B">
              <w:t xml:space="preserve">Additionally, the assessment team recommends that WEQ-002 be reviewed with consideration to incorporate NIST 800-52 details for TLS version and associated configurations which currently requires version 1.2 and support for version 1.3 by January 1, 2021. Specific configurations for TLS servers and TLS versions are detailed in section 4 of NIST 800-52 and the specific server implementation is dependent on the TLS version and implementation strategy. SSL protocol is disallowed for both government and business – facing applications and as such, the assessment team recommends disallowing support for SSL version protocols and removal of references to SSL versions and exclusively callout </w:t>
            </w:r>
            <w:r w:rsidRPr="0075015B">
              <w:lastRenderedPageBreak/>
              <w:t>TLS version 1.2 configured with validated FIPS-140-2 modules</w:t>
            </w:r>
            <w:r w:rsidRPr="0075015B">
              <w:rPr>
                <w:rStyle w:val="FootnoteReference"/>
              </w:rPr>
              <w:footnoteReference w:id="3"/>
            </w:r>
          </w:p>
        </w:tc>
        <w:tc>
          <w:tcPr>
            <w:tcW w:w="2315" w:type="dxa"/>
          </w:tcPr>
          <w:p w:rsidR="006D74A2" w:rsidRPr="0075015B" w:rsidRDefault="006D74A2" w:rsidP="00973E99">
            <w:pPr>
              <w:spacing w:before="120" w:after="120"/>
            </w:pPr>
            <w:r w:rsidRPr="0075015B">
              <w:lastRenderedPageBreak/>
              <w:t>The subcommittees should review TLS/SSL references and update the standard(s) accordingly as recommended</w:t>
            </w:r>
          </w:p>
        </w:tc>
        <w:tc>
          <w:tcPr>
            <w:tcW w:w="1903" w:type="dxa"/>
          </w:tcPr>
          <w:p w:rsidR="006D74A2" w:rsidRPr="00BB3DC0" w:rsidRDefault="006D74A2" w:rsidP="00973E99">
            <w:pPr>
              <w:pStyle w:val="ListParagraph"/>
              <w:spacing w:before="120" w:after="120"/>
              <w:ind w:left="14"/>
              <w:rPr>
                <w:highlight w:val="yellow"/>
              </w:rPr>
            </w:pPr>
            <w:r w:rsidRPr="00BB3DC0">
              <w:rPr>
                <w:highlight w:val="yellow"/>
              </w:rPr>
              <w:t>WEQ-002 aspect addressed in the joint OASIS/CSS Recommendation.</w:t>
            </w:r>
          </w:p>
          <w:p w:rsidR="006D74A2" w:rsidRPr="00BB3DC0" w:rsidRDefault="006D74A2" w:rsidP="00973E99">
            <w:pPr>
              <w:pStyle w:val="ListParagraph"/>
              <w:spacing w:before="120" w:after="120"/>
              <w:ind w:left="14"/>
            </w:pPr>
            <w:r w:rsidRPr="00BB3DC0">
              <w:rPr>
                <w:highlight w:val="yellow"/>
              </w:rPr>
              <w:t>CSS revised sections 5.1.1, 5.1.2, 5.1.6, 5.1.7, 5.2.1 and 5.2.7 in the specification to update to the latest version of the Federal Information Processing Standards Security Requirements for Cryptographic Models (FIPS 140-3).</w:t>
            </w:r>
            <w:r w:rsidRPr="00BB3DC0">
              <w:t xml:space="preserve">  </w:t>
            </w:r>
          </w:p>
        </w:tc>
      </w:tr>
      <w:tr w:rsidR="006D74A2" w:rsidRPr="00BE6280" w:rsidTr="00F04493">
        <w:tc>
          <w:tcPr>
            <w:tcW w:w="732" w:type="dxa"/>
          </w:tcPr>
          <w:p w:rsidR="006D74A2" w:rsidRPr="0075015B" w:rsidRDefault="006D74A2" w:rsidP="00973E99">
            <w:pPr>
              <w:spacing w:before="120" w:after="120"/>
              <w:ind w:left="360"/>
            </w:pPr>
            <w:r w:rsidRPr="0075015B">
              <w:t>5.</w:t>
            </w:r>
          </w:p>
        </w:tc>
        <w:tc>
          <w:tcPr>
            <w:tcW w:w="1761" w:type="dxa"/>
          </w:tcPr>
          <w:p w:rsidR="006D74A2" w:rsidRPr="0075015B" w:rsidRDefault="006D74A2" w:rsidP="00973E99">
            <w:pPr>
              <w:spacing w:before="120" w:after="120"/>
            </w:pPr>
            <w:r w:rsidRPr="0075015B">
              <w:t>OASIS Report Section 6.1.2 – Implementation Details for OASIS Nodes Unspecified (Pages 12 – 14)</w:t>
            </w:r>
          </w:p>
        </w:tc>
        <w:tc>
          <w:tcPr>
            <w:tcW w:w="3345" w:type="dxa"/>
          </w:tcPr>
          <w:p w:rsidR="006D74A2" w:rsidRPr="0075015B" w:rsidRDefault="006D74A2" w:rsidP="00973E99">
            <w:pPr>
              <w:pStyle w:val="ListParagraph"/>
              <w:spacing w:before="120" w:after="120"/>
              <w:ind w:left="0"/>
              <w:contextualSpacing w:val="0"/>
              <w:jc w:val="both"/>
            </w:pPr>
            <w:r w:rsidRPr="0075015B">
              <w:t>Level: Low</w:t>
            </w:r>
          </w:p>
          <w:p w:rsidR="006D74A2" w:rsidRPr="0075015B" w:rsidRDefault="006D74A2" w:rsidP="00973E99">
            <w:pPr>
              <w:pStyle w:val="ListParagraph"/>
              <w:spacing w:before="120" w:after="120"/>
              <w:ind w:left="0"/>
              <w:contextualSpacing w:val="0"/>
              <w:jc w:val="both"/>
            </w:pPr>
            <w:r w:rsidRPr="0075015B">
              <w:t xml:space="preserve">To mitigate this issue, the assessment team recommends that all OASIS nodes follow industry best practices to secure their systems. This would include, but is not limited to: </w:t>
            </w:r>
          </w:p>
          <w:p w:rsidR="006D74A2" w:rsidRPr="0075015B" w:rsidRDefault="006D74A2" w:rsidP="00973E99">
            <w:pPr>
              <w:pStyle w:val="ListParagraph"/>
              <w:numPr>
                <w:ilvl w:val="0"/>
                <w:numId w:val="5"/>
              </w:numPr>
              <w:spacing w:before="120" w:after="120" w:line="259" w:lineRule="auto"/>
              <w:jc w:val="both"/>
            </w:pPr>
            <w:r w:rsidRPr="0075015B">
              <w:t>Ensuring web applications are secure against common vulnerabilities such as the OWASP Top 10</w:t>
            </w:r>
            <w:r w:rsidRPr="0075015B">
              <w:rPr>
                <w:rStyle w:val="FootnoteReference"/>
              </w:rPr>
              <w:footnoteReference w:id="4"/>
            </w:r>
            <w:r w:rsidRPr="0075015B">
              <w:t xml:space="preserve"> OWASP addresses common vectors for attack, and methods for prevention for each identified security risk. </w:t>
            </w:r>
          </w:p>
          <w:p w:rsidR="006D74A2" w:rsidRPr="0075015B" w:rsidRDefault="006D74A2" w:rsidP="00973E99">
            <w:pPr>
              <w:pStyle w:val="ListParagraph"/>
              <w:numPr>
                <w:ilvl w:val="0"/>
                <w:numId w:val="5"/>
              </w:numPr>
              <w:spacing w:before="120" w:after="120" w:line="259" w:lineRule="auto"/>
              <w:jc w:val="both"/>
            </w:pPr>
            <w:r w:rsidRPr="0075015B">
              <w:t>Encrypting all communications (as allowable) using an encryption module that is validated against FIPS 140-2</w:t>
            </w:r>
            <w:r w:rsidRPr="0075015B">
              <w:rPr>
                <w:rStyle w:val="FootnoteReference"/>
              </w:rPr>
              <w:footnoteReference w:id="5"/>
            </w:r>
            <w:r w:rsidRPr="0075015B">
              <w:rPr>
                <w:vertAlign w:val="superscript"/>
              </w:rPr>
              <w:t>,</w:t>
            </w:r>
            <w:r w:rsidRPr="0075015B">
              <w:rPr>
                <w:rStyle w:val="FootnoteReference"/>
              </w:rPr>
              <w:footnoteReference w:id="6"/>
            </w:r>
            <w:r w:rsidRPr="0075015B">
              <w:rPr>
                <w:vertAlign w:val="superscript"/>
              </w:rPr>
              <w:t xml:space="preserve"> </w:t>
            </w:r>
            <w:r w:rsidRPr="0075015B">
              <w:t xml:space="preserve">. The assessment team recommends removal of HTTP communication for status notifications and utilizing either HTTPS solutions or utilize encrypted email notification. In section WEQ-002-5.1 appears to require encrypted communication but in WEQ-002-4.2 allowances are made for HTTP notifications. NIST SP 800-131A REV 2 provides guidance for acceptable </w:t>
            </w:r>
            <w:r w:rsidRPr="0075015B">
              <w:lastRenderedPageBreak/>
              <w:t>encryption (AES 128 bit or better), random bit generation, hash functions and message authentication codes.</w:t>
            </w:r>
          </w:p>
          <w:p w:rsidR="006D74A2" w:rsidRPr="0075015B" w:rsidRDefault="006D74A2" w:rsidP="00973E99">
            <w:pPr>
              <w:pStyle w:val="ListParagraph"/>
              <w:numPr>
                <w:ilvl w:val="0"/>
                <w:numId w:val="5"/>
              </w:numPr>
              <w:spacing w:before="120" w:after="120" w:line="259" w:lineRule="auto"/>
              <w:jc w:val="both"/>
            </w:pPr>
            <w:r w:rsidRPr="0075015B">
              <w:t>Utilizing the latest versions of all critical standards (such as TLS) to ensure all possible vulnerabilities are addressed</w:t>
            </w:r>
          </w:p>
          <w:p w:rsidR="006D74A2" w:rsidRPr="0075015B" w:rsidRDefault="006D74A2" w:rsidP="00973E99">
            <w:pPr>
              <w:pStyle w:val="ListParagraph"/>
              <w:numPr>
                <w:ilvl w:val="0"/>
                <w:numId w:val="5"/>
              </w:numPr>
              <w:spacing w:before="120" w:after="120" w:line="259" w:lineRule="auto"/>
              <w:jc w:val="both"/>
            </w:pPr>
            <w:r w:rsidRPr="0075015B">
              <w:t>Verifying and validating all external inputs</w:t>
            </w:r>
          </w:p>
          <w:p w:rsidR="006D74A2" w:rsidRPr="0075015B" w:rsidRDefault="006D74A2" w:rsidP="00973E99">
            <w:pPr>
              <w:pStyle w:val="ListParagraph"/>
              <w:numPr>
                <w:ilvl w:val="0"/>
                <w:numId w:val="5"/>
              </w:numPr>
              <w:spacing w:before="120" w:after="120" w:line="259" w:lineRule="auto"/>
              <w:jc w:val="both"/>
            </w:pPr>
            <w:r w:rsidRPr="0075015B">
              <w:t>Conducting business continuity and disaster recovery exercises on an annual basis</w:t>
            </w:r>
          </w:p>
          <w:p w:rsidR="006D74A2" w:rsidRPr="0075015B" w:rsidRDefault="006D74A2" w:rsidP="00973E99">
            <w:pPr>
              <w:pStyle w:val="ListParagraph"/>
              <w:numPr>
                <w:ilvl w:val="0"/>
                <w:numId w:val="5"/>
              </w:numPr>
              <w:spacing w:before="120" w:after="120" w:line="259" w:lineRule="auto"/>
              <w:jc w:val="both"/>
            </w:pPr>
            <w:r w:rsidRPr="0075015B">
              <w:t>Applying patches and updates in a timely manner; ideally no longer than 7 days after the patch or update becomes available (if practical). It is imperative that implementation details, system configurations, and software dependencies be considered prior to applying updates as some updates can have a detrimental impact on functionality. Any of these items that have an impact on the update process must be tracked and communicated to dependent parties.</w:t>
            </w:r>
          </w:p>
        </w:tc>
        <w:tc>
          <w:tcPr>
            <w:tcW w:w="2315" w:type="dxa"/>
          </w:tcPr>
          <w:p w:rsidR="006D74A2" w:rsidRPr="0075015B" w:rsidRDefault="006D74A2" w:rsidP="00973E99">
            <w:pPr>
              <w:spacing w:before="120" w:after="120"/>
            </w:pPr>
            <w:r w:rsidRPr="0075015B">
              <w:lastRenderedPageBreak/>
              <w:t>Subcommittees should consider additional standard(s) ensuring web applications are secure against common vulnerabilities such as the OWASP Top 10</w:t>
            </w:r>
          </w:p>
          <w:p w:rsidR="006D74A2" w:rsidRPr="0075015B" w:rsidRDefault="006D74A2" w:rsidP="00973E99">
            <w:pPr>
              <w:spacing w:before="120" w:after="120"/>
            </w:pPr>
            <w:r w:rsidRPr="0075015B">
              <w:t>Subcommittees should review encryption of OASIS data and references to HTTP/HTTPS as recommended and modify standards as needed</w:t>
            </w:r>
          </w:p>
          <w:p w:rsidR="006D74A2" w:rsidRPr="0075015B" w:rsidRDefault="006D74A2" w:rsidP="00973E99">
            <w:pPr>
              <w:spacing w:before="120" w:after="120"/>
            </w:pPr>
            <w:r w:rsidRPr="0075015B">
              <w:t>Subcommittees should consider standard(s) to require business continuity and disaster recover exercises on an annual basis as recommended</w:t>
            </w:r>
          </w:p>
          <w:p w:rsidR="006D74A2" w:rsidRPr="0075015B" w:rsidRDefault="006D74A2" w:rsidP="00973E99">
            <w:pPr>
              <w:spacing w:before="120" w:after="120"/>
            </w:pPr>
            <w:r w:rsidRPr="0075015B">
              <w:t xml:space="preserve">Subcommittees should consider standard(s) to require applying patches and updates in a timely manner; ideally no longer than 7 days after the patch or update becomes </w:t>
            </w:r>
            <w:r w:rsidRPr="0075015B">
              <w:lastRenderedPageBreak/>
              <w:t>available as recommended</w:t>
            </w:r>
          </w:p>
        </w:tc>
        <w:tc>
          <w:tcPr>
            <w:tcW w:w="1903" w:type="dxa"/>
          </w:tcPr>
          <w:p w:rsidR="006D74A2" w:rsidRPr="00BB3DC0" w:rsidRDefault="006D74A2" w:rsidP="00EA6758">
            <w:pPr>
              <w:pStyle w:val="ListParagraph"/>
              <w:spacing w:before="120" w:after="120"/>
              <w:ind w:left="14"/>
              <w:rPr>
                <w:highlight w:val="yellow"/>
              </w:rPr>
            </w:pPr>
            <w:r w:rsidRPr="00EA6758">
              <w:rPr>
                <w:highlight w:val="yellow"/>
              </w:rPr>
              <w:lastRenderedPageBreak/>
              <w:t>OASIS Nodes</w:t>
            </w:r>
            <w:r>
              <w:rPr>
                <w:highlight w:val="yellow"/>
              </w:rPr>
              <w:t>, TLS and HTTPS</w:t>
            </w:r>
            <w:r w:rsidRPr="00EA6758">
              <w:rPr>
                <w:highlight w:val="yellow"/>
              </w:rPr>
              <w:t xml:space="preserve"> aspect</w:t>
            </w:r>
            <w:r>
              <w:t xml:space="preserve">s </w:t>
            </w:r>
            <w:r w:rsidRPr="00BB3DC0">
              <w:rPr>
                <w:highlight w:val="yellow"/>
              </w:rPr>
              <w:t>addressed in the joint OASIS/CSS Recommendation.</w:t>
            </w:r>
          </w:p>
          <w:p w:rsidR="006D74A2" w:rsidRPr="0075015B" w:rsidRDefault="006D74A2" w:rsidP="00EA6758">
            <w:pPr>
              <w:spacing w:before="120" w:after="120"/>
            </w:pPr>
            <w:r w:rsidRPr="00BB3DC0">
              <w:rPr>
                <w:highlight w:val="yellow"/>
              </w:rPr>
              <w:t>CSS revised sections 5.1.1, 5.1.2, 5.1.6, 5.1.7, 5.2.1 and 5.2.7 in the specification to update to the latest version of the Federal Information Processing Standards Security Requirements for Cryptographic Models (FIPS 140-3).</w:t>
            </w:r>
          </w:p>
          <w:p w:rsidR="006D74A2" w:rsidRPr="0075015B" w:rsidRDefault="006D74A2" w:rsidP="00973E99">
            <w:pPr>
              <w:spacing w:before="120" w:after="120"/>
            </w:pPr>
            <w:r w:rsidRPr="00EA6758">
              <w:rPr>
                <w:highlight w:val="yellow"/>
              </w:rPr>
              <w:t>Remaining issues set aside for future consideration / undertaking.</w:t>
            </w:r>
          </w:p>
        </w:tc>
      </w:tr>
      <w:tr w:rsidR="006D74A2" w:rsidRPr="00BE6280" w:rsidTr="00F04493">
        <w:tc>
          <w:tcPr>
            <w:tcW w:w="732" w:type="dxa"/>
          </w:tcPr>
          <w:p w:rsidR="006D74A2" w:rsidRPr="0075015B" w:rsidRDefault="006D74A2" w:rsidP="00973E99">
            <w:pPr>
              <w:spacing w:before="120" w:after="120"/>
              <w:jc w:val="right"/>
            </w:pPr>
            <w:r w:rsidRPr="0075015B">
              <w:t>9.</w:t>
            </w:r>
          </w:p>
        </w:tc>
        <w:tc>
          <w:tcPr>
            <w:tcW w:w="1761" w:type="dxa"/>
          </w:tcPr>
          <w:p w:rsidR="006D74A2" w:rsidRPr="0075015B" w:rsidRDefault="006D74A2" w:rsidP="00973E99">
            <w:pPr>
              <w:spacing w:before="120" w:after="120"/>
            </w:pPr>
            <w:r w:rsidRPr="0075015B">
              <w:t>Addendum Report Section 3.4 – Recommended Future Assessments (Pages 29 – 30)</w:t>
            </w:r>
          </w:p>
        </w:tc>
        <w:tc>
          <w:tcPr>
            <w:tcW w:w="3345" w:type="dxa"/>
          </w:tcPr>
          <w:p w:rsidR="006D74A2" w:rsidRPr="0075015B" w:rsidRDefault="006D74A2" w:rsidP="00973E99">
            <w:pPr>
              <w:spacing w:before="120" w:after="120"/>
              <w:jc w:val="both"/>
            </w:pPr>
            <w:r w:rsidRPr="0075015B">
              <w:t xml:space="preserve">Since OASIS nodes are implemented independently, the team recommends conducting internal and external scans of the nodes on a quarterly basis, and a security assessment or penetration test. This testing would allow the identification of nodes that are using older/vulnerable versions of software, leak information about the system (ex. </w:t>
            </w:r>
            <w:r w:rsidRPr="0075015B">
              <w:lastRenderedPageBreak/>
              <w:t>list software versions being used) or have vulnerable implementations of their web applications. Since each node can be unique in its software, environment, and supporting security systems, the assessment team recommends that the node owner perform these assessments on their own systems. According to best practices from SANS</w:t>
            </w:r>
            <w:r w:rsidRPr="0075015B">
              <w:rPr>
                <w:rStyle w:val="FootnoteReference"/>
              </w:rPr>
              <w:footnoteReference w:id="7"/>
            </w:r>
            <w:r w:rsidRPr="0075015B">
              <w:t>: “Scans should be performed regularly on all software, services, or platforms (SPPs) that are available external to the organization. At a minimum, scans should be performed monthly.”</w:t>
            </w:r>
          </w:p>
        </w:tc>
        <w:tc>
          <w:tcPr>
            <w:tcW w:w="2315" w:type="dxa"/>
          </w:tcPr>
          <w:p w:rsidR="006D74A2" w:rsidRPr="0075015B" w:rsidRDefault="006D74A2" w:rsidP="00973E99">
            <w:pPr>
              <w:spacing w:before="120" w:after="120"/>
            </w:pPr>
            <w:r w:rsidRPr="0075015B">
              <w:lastRenderedPageBreak/>
              <w:t xml:space="preserve">Subcommittees should review the recommendation and consider standard(s) recommending best practices or requiring internal/external scans of nodes and a security </w:t>
            </w:r>
            <w:r w:rsidRPr="0075015B">
              <w:lastRenderedPageBreak/>
              <w:t>assessment/penetration test as recommended</w:t>
            </w:r>
          </w:p>
        </w:tc>
        <w:tc>
          <w:tcPr>
            <w:tcW w:w="1903" w:type="dxa"/>
          </w:tcPr>
          <w:p w:rsidR="006D74A2" w:rsidRPr="0075015B" w:rsidRDefault="006D74A2" w:rsidP="00973E99">
            <w:pPr>
              <w:spacing w:before="120" w:after="120"/>
            </w:pPr>
            <w:r w:rsidRPr="003362B8">
              <w:rPr>
                <w:highlight w:val="yellow"/>
              </w:rPr>
              <w:lastRenderedPageBreak/>
              <w:t xml:space="preserve">Issue addressed in </w:t>
            </w:r>
            <w:r>
              <w:rPr>
                <w:highlight w:val="yellow"/>
              </w:rPr>
              <w:t xml:space="preserve">the </w:t>
            </w:r>
            <w:r w:rsidRPr="003362B8">
              <w:rPr>
                <w:highlight w:val="yellow"/>
              </w:rPr>
              <w:t>joint OASIS/CSS Recommendation</w:t>
            </w:r>
            <w:r>
              <w:t>.</w:t>
            </w:r>
          </w:p>
        </w:tc>
      </w:tr>
    </w:tbl>
    <w:p w:rsidR="006D74A2" w:rsidRDefault="006D74A2" w:rsidP="00644DCC">
      <w:pPr>
        <w:pStyle w:val="DefaultText"/>
        <w:spacing w:before="120"/>
        <w:rPr>
          <w:rFonts w:ascii="Arial" w:hAnsi="Arial" w:cs="Arial"/>
          <w:sz w:val="22"/>
        </w:rPr>
      </w:pPr>
    </w:p>
    <w:p w:rsidR="006D74A2" w:rsidRPr="00644DCC" w:rsidRDefault="006D74A2" w:rsidP="00E46780">
      <w:pPr>
        <w:pStyle w:val="ListParagraph"/>
        <w:tabs>
          <w:tab w:val="left" w:pos="1080"/>
        </w:tabs>
        <w:spacing w:before="120"/>
        <w:ind w:left="0"/>
        <w:rPr>
          <w:rFonts w:ascii="Arial" w:hAnsi="Arial" w:cs="Arial"/>
          <w:sz w:val="22"/>
          <w:szCs w:val="22"/>
        </w:rPr>
      </w:pPr>
      <w:r>
        <w:rPr>
          <w:rFonts w:ascii="Arial" w:hAnsi="Arial" w:cs="Arial"/>
          <w:sz w:val="22"/>
        </w:rPr>
        <w:t xml:space="preserve">The attached updated </w:t>
      </w:r>
      <w:r w:rsidRPr="00713D51">
        <w:rPr>
          <w:rFonts w:ascii="Arial" w:hAnsi="Arial" w:cs="Arial"/>
          <w:sz w:val="22"/>
        </w:rPr>
        <w:t xml:space="preserve">NAESB Accreditation Requirements for Authorized Certification Authorities </w:t>
      </w:r>
      <w:r>
        <w:rPr>
          <w:rFonts w:ascii="Arial" w:hAnsi="Arial" w:cs="Arial"/>
          <w:sz w:val="22"/>
        </w:rPr>
        <w:t xml:space="preserve">(specification) document is incorporated herein as part of this recommendation. </w:t>
      </w:r>
    </w:p>
    <w:p w:rsidR="006D74A2" w:rsidRDefault="006D74A2" w:rsidP="00C849B1">
      <w:pPr>
        <w:pStyle w:val="DefaultText"/>
        <w:tabs>
          <w:tab w:val="left" w:pos="1080"/>
        </w:tabs>
        <w:spacing w:before="120"/>
        <w:ind w:firstLine="720"/>
        <w:rPr>
          <w:rFonts w:ascii="Arial" w:hAnsi="Arial" w:cs="Arial"/>
          <w:b/>
          <w:sz w:val="20"/>
        </w:rPr>
      </w:pPr>
    </w:p>
    <w:p w:rsidR="006D74A2" w:rsidRPr="009E07F2" w:rsidRDefault="006D74A2"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Pr="009E07F2">
        <w:rPr>
          <w:rFonts w:ascii="Arial" w:hAnsi="Arial" w:cs="Arial"/>
          <w:b/>
          <w:sz w:val="20"/>
        </w:rPr>
        <w:t>Business Purpose:</w:t>
      </w:r>
    </w:p>
    <w:p w:rsidR="006D74A2" w:rsidRDefault="006D74A2" w:rsidP="00A506CF">
      <w:pPr>
        <w:spacing w:before="120"/>
        <w:rPr>
          <w:rFonts w:ascii="Arial" w:hAnsi="Arial" w:cs="Arial"/>
          <w:sz w:val="22"/>
        </w:rPr>
      </w:pPr>
      <w:r>
        <w:rPr>
          <w:rFonts w:ascii="Arial" w:hAnsi="Arial" w:cs="Arial"/>
          <w:sz w:val="22"/>
          <w:szCs w:val="22"/>
        </w:rPr>
        <w:t>To e</w:t>
      </w:r>
      <w:r w:rsidRPr="00296A55">
        <w:rPr>
          <w:rFonts w:ascii="Arial" w:hAnsi="Arial" w:cs="Arial"/>
          <w:sz w:val="22"/>
          <w:szCs w:val="22"/>
        </w:rPr>
        <w:t xml:space="preserve">stablish </w:t>
      </w:r>
      <w:r w:rsidRPr="00A60F7F">
        <w:rPr>
          <w:rFonts w:ascii="Arial" w:hAnsi="Arial" w:cs="Arial"/>
          <w:sz w:val="22"/>
        </w:rPr>
        <w:t>needed modifications</w:t>
      </w:r>
      <w:r>
        <w:rPr>
          <w:rFonts w:ascii="Arial" w:hAnsi="Arial" w:cs="Arial"/>
          <w:sz w:val="22"/>
        </w:rPr>
        <w:t xml:space="preserve"> to the </w:t>
      </w:r>
      <w:r w:rsidRPr="00713D51">
        <w:rPr>
          <w:rFonts w:ascii="Arial" w:hAnsi="Arial" w:cs="Arial"/>
          <w:sz w:val="22"/>
        </w:rPr>
        <w:t xml:space="preserve">NAESB Accreditation Requirements for Authorized Certification Authorities </w:t>
      </w:r>
      <w:r>
        <w:rPr>
          <w:rFonts w:ascii="Arial" w:hAnsi="Arial" w:cs="Arial"/>
          <w:sz w:val="22"/>
        </w:rPr>
        <w:t>document</w:t>
      </w:r>
      <w:r w:rsidRPr="00A60F7F">
        <w:rPr>
          <w:rFonts w:ascii="Arial" w:hAnsi="Arial" w:cs="Arial"/>
          <w:sz w:val="22"/>
        </w:rPr>
        <w:t xml:space="preserve"> based on </w:t>
      </w:r>
      <w:r>
        <w:rPr>
          <w:rFonts w:ascii="Arial" w:hAnsi="Arial" w:cs="Arial"/>
          <w:sz w:val="22"/>
        </w:rPr>
        <w:t>the results of the Sandia National Laboratories surety assessment as proposed by the NAESB Board Critical Infrastructure Protection Committee.</w:t>
      </w:r>
    </w:p>
    <w:p w:rsidR="006D74A2" w:rsidRPr="009E07F2" w:rsidRDefault="006D74A2" w:rsidP="00A506CF">
      <w:pPr>
        <w:spacing w:before="120"/>
        <w:rPr>
          <w:rFonts w:ascii="Arial" w:hAnsi="Arial" w:cs="Arial"/>
        </w:rPr>
      </w:pPr>
    </w:p>
    <w:p w:rsidR="006D74A2" w:rsidRDefault="006D74A2"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Pr="009E07F2">
        <w:rPr>
          <w:rFonts w:ascii="Arial" w:hAnsi="Arial" w:cs="Arial"/>
          <w:b/>
        </w:rPr>
        <w:t>Commentary/Rationale of Subcommittee(s)/Task Force(s):</w:t>
      </w:r>
    </w:p>
    <w:p w:rsidR="006D74A2" w:rsidRDefault="006D74A2" w:rsidP="00C849B1">
      <w:pPr>
        <w:tabs>
          <w:tab w:val="left" w:pos="1080"/>
        </w:tabs>
        <w:spacing w:before="120"/>
        <w:ind w:firstLine="720"/>
        <w:rPr>
          <w:rFonts w:ascii="Arial" w:hAnsi="Arial" w:cs="Arial"/>
          <w:b/>
        </w:rPr>
      </w:pPr>
    </w:p>
    <w:p w:rsidR="006D74A2" w:rsidRDefault="006D74A2" w:rsidP="00154DA5">
      <w:pPr>
        <w:pStyle w:val="ListParagraph"/>
        <w:tabs>
          <w:tab w:val="left" w:pos="1080"/>
        </w:tabs>
        <w:spacing w:before="120"/>
        <w:ind w:left="108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Pr="00114FFF">
        <w:rPr>
          <w:rFonts w:ascii="Arial" w:hAnsi="Arial" w:cs="Arial"/>
          <w:sz w:val="22"/>
          <w:szCs w:val="22"/>
        </w:rPr>
        <w:tab/>
      </w:r>
    </w:p>
    <w:p w:rsidR="006D74A2" w:rsidRPr="00114FFF" w:rsidRDefault="006D74A2" w:rsidP="00154DA5">
      <w:pPr>
        <w:pStyle w:val="ListParagraph"/>
        <w:tabs>
          <w:tab w:val="left" w:pos="1080"/>
        </w:tabs>
        <w:spacing w:before="120"/>
        <w:ind w:left="1080"/>
        <w:rPr>
          <w:rFonts w:ascii="Arial" w:hAnsi="Arial" w:cs="Arial"/>
          <w:sz w:val="22"/>
          <w:szCs w:val="22"/>
        </w:rPr>
      </w:pPr>
    </w:p>
    <w:p w:rsidR="006D74A2" w:rsidRPr="00DC54B4" w:rsidRDefault="006D74A2" w:rsidP="00644DCC">
      <w:pPr>
        <w:pStyle w:val="ListParagraph"/>
        <w:numPr>
          <w:ilvl w:val="0"/>
          <w:numId w:val="4"/>
        </w:numPr>
        <w:tabs>
          <w:tab w:val="left" w:pos="1080"/>
        </w:tabs>
        <w:spacing w:before="120"/>
        <w:rPr>
          <w:rFonts w:ascii="Arial" w:hAnsi="Arial" w:cs="Arial"/>
          <w:sz w:val="22"/>
          <w:szCs w:val="22"/>
        </w:rPr>
      </w:pPr>
      <w:r w:rsidRPr="00DC54B4">
        <w:rPr>
          <w:rFonts w:ascii="Arial" w:hAnsi="Arial" w:cs="Arial"/>
          <w:sz w:val="22"/>
          <w:szCs w:val="22"/>
        </w:rPr>
        <w:t>CSS</w:t>
      </w:r>
      <w:r w:rsidRPr="00DC54B4">
        <w:rPr>
          <w:rFonts w:ascii="Arial" w:hAnsi="Arial" w:cs="Arial"/>
          <w:sz w:val="22"/>
          <w:szCs w:val="22"/>
        </w:rPr>
        <w:tab/>
      </w:r>
      <w:r w:rsidRPr="00DC54B4">
        <w:rPr>
          <w:rFonts w:ascii="Arial" w:hAnsi="Arial" w:cs="Arial"/>
          <w:sz w:val="22"/>
          <w:szCs w:val="22"/>
        </w:rPr>
        <w:tab/>
        <w:t>08/20/2019</w:t>
      </w:r>
    </w:p>
    <w:p w:rsidR="006D74A2" w:rsidRPr="00DC54B4" w:rsidRDefault="006D74A2" w:rsidP="006F28A8">
      <w:pPr>
        <w:pStyle w:val="ListParagraph"/>
        <w:numPr>
          <w:ilvl w:val="0"/>
          <w:numId w:val="4"/>
        </w:numPr>
        <w:tabs>
          <w:tab w:val="left" w:pos="1080"/>
        </w:tabs>
        <w:spacing w:before="120"/>
        <w:rPr>
          <w:rFonts w:ascii="Arial" w:hAnsi="Arial" w:cs="Arial"/>
          <w:sz w:val="22"/>
          <w:szCs w:val="22"/>
        </w:rPr>
      </w:pPr>
      <w:r w:rsidRPr="00DC54B4">
        <w:rPr>
          <w:rFonts w:ascii="Arial" w:hAnsi="Arial" w:cs="Arial"/>
          <w:sz w:val="22"/>
          <w:szCs w:val="22"/>
        </w:rPr>
        <w:t>CSS</w:t>
      </w:r>
      <w:r w:rsidRPr="00DC54B4">
        <w:rPr>
          <w:rFonts w:ascii="Arial" w:hAnsi="Arial" w:cs="Arial"/>
          <w:sz w:val="22"/>
          <w:szCs w:val="22"/>
        </w:rPr>
        <w:tab/>
      </w:r>
      <w:r w:rsidRPr="00DC54B4">
        <w:rPr>
          <w:rFonts w:ascii="Arial" w:hAnsi="Arial" w:cs="Arial"/>
          <w:sz w:val="22"/>
          <w:szCs w:val="22"/>
        </w:rPr>
        <w:tab/>
        <w:t>09/29/2019</w:t>
      </w:r>
    </w:p>
    <w:p w:rsidR="006D74A2" w:rsidRPr="00DC54B4" w:rsidRDefault="006D74A2" w:rsidP="006F28A8">
      <w:pPr>
        <w:pStyle w:val="ListParagraph"/>
        <w:numPr>
          <w:ilvl w:val="0"/>
          <w:numId w:val="4"/>
        </w:numPr>
        <w:tabs>
          <w:tab w:val="left" w:pos="1080"/>
        </w:tabs>
        <w:spacing w:before="120"/>
        <w:rPr>
          <w:rFonts w:ascii="Arial" w:hAnsi="Arial" w:cs="Arial"/>
          <w:sz w:val="22"/>
          <w:szCs w:val="22"/>
        </w:rPr>
      </w:pPr>
      <w:r w:rsidRPr="00DC54B4">
        <w:rPr>
          <w:rFonts w:ascii="Arial" w:hAnsi="Arial" w:cs="Arial"/>
          <w:sz w:val="22"/>
          <w:szCs w:val="22"/>
        </w:rPr>
        <w:t>CSS</w:t>
      </w:r>
      <w:r w:rsidRPr="00DC54B4">
        <w:rPr>
          <w:rFonts w:ascii="Arial" w:hAnsi="Arial" w:cs="Arial"/>
          <w:sz w:val="22"/>
          <w:szCs w:val="22"/>
        </w:rPr>
        <w:tab/>
      </w:r>
      <w:r w:rsidRPr="00DC54B4">
        <w:rPr>
          <w:rFonts w:ascii="Arial" w:hAnsi="Arial" w:cs="Arial"/>
          <w:sz w:val="22"/>
          <w:szCs w:val="22"/>
        </w:rPr>
        <w:tab/>
        <w:t>09/10/2019</w:t>
      </w:r>
    </w:p>
    <w:p w:rsidR="006D74A2" w:rsidRPr="00DC54B4" w:rsidRDefault="006D74A2" w:rsidP="006F28A8">
      <w:pPr>
        <w:pStyle w:val="ListParagraph"/>
        <w:numPr>
          <w:ilvl w:val="0"/>
          <w:numId w:val="4"/>
        </w:numPr>
        <w:tabs>
          <w:tab w:val="left" w:pos="1080"/>
        </w:tabs>
        <w:spacing w:before="120"/>
        <w:rPr>
          <w:rFonts w:ascii="Arial" w:hAnsi="Arial" w:cs="Arial"/>
          <w:sz w:val="22"/>
          <w:szCs w:val="22"/>
        </w:rPr>
      </w:pPr>
      <w:r w:rsidRPr="00DC54B4">
        <w:rPr>
          <w:rFonts w:ascii="Arial" w:hAnsi="Arial" w:cs="Arial"/>
          <w:sz w:val="22"/>
          <w:szCs w:val="22"/>
        </w:rPr>
        <w:t>CSS</w:t>
      </w:r>
      <w:r w:rsidRPr="00DC54B4">
        <w:rPr>
          <w:rFonts w:ascii="Arial" w:hAnsi="Arial" w:cs="Arial"/>
          <w:sz w:val="22"/>
          <w:szCs w:val="22"/>
        </w:rPr>
        <w:tab/>
      </w:r>
      <w:r w:rsidRPr="00DC54B4">
        <w:rPr>
          <w:rFonts w:ascii="Arial" w:hAnsi="Arial" w:cs="Arial"/>
          <w:sz w:val="22"/>
          <w:szCs w:val="22"/>
        </w:rPr>
        <w:tab/>
        <w:t>09/16/2019</w:t>
      </w:r>
    </w:p>
    <w:p w:rsidR="006D74A2" w:rsidRPr="00DC54B4" w:rsidRDefault="006D74A2" w:rsidP="006F28A8">
      <w:pPr>
        <w:pStyle w:val="ListParagraph"/>
        <w:numPr>
          <w:ilvl w:val="0"/>
          <w:numId w:val="4"/>
        </w:numPr>
        <w:tabs>
          <w:tab w:val="left" w:pos="1080"/>
        </w:tabs>
        <w:spacing w:before="120"/>
        <w:rPr>
          <w:rFonts w:ascii="Arial" w:hAnsi="Arial" w:cs="Arial"/>
          <w:sz w:val="22"/>
          <w:szCs w:val="22"/>
        </w:rPr>
      </w:pPr>
      <w:r w:rsidRPr="00DC54B4">
        <w:rPr>
          <w:rFonts w:ascii="Arial" w:hAnsi="Arial" w:cs="Arial"/>
          <w:sz w:val="22"/>
          <w:szCs w:val="22"/>
        </w:rPr>
        <w:lastRenderedPageBreak/>
        <w:t>CSS/OASIS</w:t>
      </w:r>
      <w:r w:rsidRPr="00DC54B4">
        <w:rPr>
          <w:rFonts w:ascii="Arial" w:hAnsi="Arial" w:cs="Arial"/>
          <w:sz w:val="22"/>
          <w:szCs w:val="22"/>
        </w:rPr>
        <w:tab/>
        <w:t>10/03/2019</w:t>
      </w:r>
    </w:p>
    <w:p w:rsidR="006D74A2" w:rsidRPr="002F194D" w:rsidRDefault="006D74A2" w:rsidP="002F194D">
      <w:pPr>
        <w:pStyle w:val="ListParagraph"/>
        <w:numPr>
          <w:ilvl w:val="0"/>
          <w:numId w:val="4"/>
        </w:numPr>
        <w:tabs>
          <w:tab w:val="left" w:pos="1080"/>
        </w:tabs>
        <w:spacing w:before="120"/>
        <w:rPr>
          <w:rFonts w:ascii="Arial" w:hAnsi="Arial" w:cs="Arial"/>
          <w:sz w:val="22"/>
          <w:szCs w:val="22"/>
        </w:rPr>
      </w:pPr>
      <w:r w:rsidRPr="00DC54B4">
        <w:rPr>
          <w:rFonts w:ascii="Arial" w:hAnsi="Arial" w:cs="Arial"/>
          <w:sz w:val="22"/>
          <w:szCs w:val="22"/>
        </w:rPr>
        <w:t>CSS</w:t>
      </w:r>
      <w:r w:rsidRPr="00DC54B4">
        <w:rPr>
          <w:rFonts w:ascii="Arial" w:hAnsi="Arial" w:cs="Arial"/>
          <w:sz w:val="22"/>
          <w:szCs w:val="22"/>
        </w:rPr>
        <w:tab/>
      </w:r>
      <w:r w:rsidRPr="00DC54B4">
        <w:rPr>
          <w:rFonts w:ascii="Arial" w:hAnsi="Arial" w:cs="Arial"/>
          <w:sz w:val="22"/>
          <w:szCs w:val="22"/>
        </w:rPr>
        <w:tab/>
        <w:t>10/10/2019</w:t>
      </w:r>
    </w:p>
    <w:sectPr w:rsidR="006D74A2" w:rsidRPr="002F194D" w:rsidSect="001A65DE">
      <w:headerReference w:type="even" r:id="rId10"/>
      <w:headerReference w:type="default" r:id="rId11"/>
      <w:footerReference w:type="even" r:id="rId12"/>
      <w:footerReference w:type="default" r:id="rId13"/>
      <w:headerReference w:type="first" r:id="rId14"/>
      <w:footerReference w:type="first" r:id="rId15"/>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63E" w:rsidRDefault="0095163E">
      <w:r>
        <w:separator/>
      </w:r>
    </w:p>
  </w:endnote>
  <w:endnote w:type="continuationSeparator" w:id="0">
    <w:p w:rsidR="0095163E" w:rsidRDefault="0095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41" w:rsidRDefault="001B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80" w:rsidRDefault="006D74A2" w:rsidP="009B3780">
    <w:pPr>
      <w:pStyle w:val="DefaultText"/>
      <w:jc w:val="right"/>
      <w:rPr>
        <w:rFonts w:ascii="Arial" w:hAnsi="Arial" w:cs="Arial"/>
        <w:sz w:val="20"/>
      </w:rPr>
    </w:pPr>
    <w:r>
      <w:tab/>
    </w:r>
    <w:r w:rsidR="009B3780">
      <w:rPr>
        <w:rFonts w:ascii="Arial" w:hAnsi="Arial" w:cs="Arial"/>
        <w:sz w:val="20"/>
      </w:rPr>
      <w:t>October 10, 2019</w:t>
    </w:r>
  </w:p>
  <w:p w:rsidR="009B3780" w:rsidRPr="001F55B3" w:rsidRDefault="009B3780" w:rsidP="009B3780">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rPr>
      <w:t>1</w:t>
    </w:r>
    <w:r w:rsidRPr="001F55B3">
      <w:rPr>
        <w:rStyle w:val="PageNumber"/>
        <w:rFonts w:ascii="Arial" w:hAnsi="Arial" w:cs="Arial"/>
        <w:sz w:val="20"/>
      </w:rPr>
      <w:fldChar w:fldCharType="end"/>
    </w:r>
  </w:p>
  <w:p w:rsidR="006D74A2" w:rsidRPr="00EA6758" w:rsidRDefault="006D74A2" w:rsidP="009B378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41" w:rsidRDefault="001B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63E" w:rsidRDefault="0095163E">
      <w:r>
        <w:separator/>
      </w:r>
    </w:p>
  </w:footnote>
  <w:footnote w:type="continuationSeparator" w:id="0">
    <w:p w:rsidR="0095163E" w:rsidRDefault="0095163E">
      <w:r>
        <w:continuationSeparator/>
      </w:r>
    </w:p>
  </w:footnote>
  <w:footnote w:id="1">
    <w:p w:rsidR="006D74A2" w:rsidRDefault="006D74A2" w:rsidP="000C0AFC">
      <w:pPr>
        <w:pStyle w:val="Footnote"/>
        <w:pBdr>
          <w:top w:val="none" w:sz="0" w:space="0" w:color="auto"/>
          <w:left w:val="none" w:sz="0" w:space="0" w:color="auto"/>
          <w:bottom w:val="none" w:sz="0" w:space="0" w:color="auto"/>
          <w:right w:val="none" w:sz="0" w:space="0" w:color="auto"/>
          <w:bar w:val="none" w:sz="0" w:color="auto"/>
        </w:pBd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Barker, E. and Roginsky, A. NIST 800-131A: </w:t>
      </w:r>
      <w:r w:rsidRPr="00630A71">
        <w:rPr>
          <w:rFonts w:ascii="Times New Roman" w:eastAsia="Arial Unicode MS" w:hAnsi="Times New Roman" w:cs="Times New Roman"/>
          <w:i/>
          <w:iCs/>
          <w:sz w:val="20"/>
          <w:szCs w:val="20"/>
        </w:rPr>
        <w:t>Transitioning the Use of Cryptographic Algorithms and Key Lengths</w:t>
      </w:r>
      <w:r w:rsidRPr="00630A71">
        <w:rPr>
          <w:rFonts w:ascii="Times New Roman" w:eastAsia="Arial Unicode MS" w:hAnsi="Times New Roman" w:cs="Times New Roman"/>
          <w:sz w:val="20"/>
          <w:szCs w:val="20"/>
        </w:rPr>
        <w:t>. National Institute of Standards and Technology, 2019.</w:t>
      </w:r>
    </w:p>
  </w:footnote>
  <w:footnote w:id="2">
    <w:p w:rsidR="006D74A2" w:rsidRDefault="006D74A2" w:rsidP="000C0AFC">
      <w:pPr>
        <w:pStyle w:val="Footnote"/>
        <w:pBdr>
          <w:top w:val="none" w:sz="0" w:space="0" w:color="auto"/>
          <w:left w:val="none" w:sz="0" w:space="0" w:color="auto"/>
          <w:bottom w:val="none" w:sz="0" w:space="0" w:color="auto"/>
          <w:right w:val="none" w:sz="0" w:space="0" w:color="auto"/>
          <w:bar w:val="none" w:sz="0" w:color="auto"/>
        </w:pBd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Symantec Corporation. </w:t>
      </w:r>
      <w:r w:rsidRPr="00630A71">
        <w:rPr>
          <w:rFonts w:ascii="Times New Roman" w:eastAsia="Arial Unicode MS" w:hAnsi="Times New Roman" w:cs="Times New Roman"/>
          <w:i/>
          <w:iCs/>
          <w:sz w:val="20"/>
          <w:szCs w:val="20"/>
        </w:rPr>
        <w:t>PGP Command Line 9.0 User’s Guide</w:t>
      </w:r>
      <w:r w:rsidRPr="00630A71">
        <w:rPr>
          <w:rFonts w:ascii="Times New Roman" w:eastAsia="Arial Unicode MS" w:hAnsi="Times New Roman" w:cs="Times New Roman"/>
          <w:sz w:val="20"/>
          <w:szCs w:val="20"/>
        </w:rPr>
        <w:t>. Symantec, 2006.</w:t>
      </w:r>
    </w:p>
  </w:footnote>
  <w:footnote w:id="3">
    <w:p w:rsidR="006D74A2" w:rsidRDefault="006D74A2" w:rsidP="00690B1C">
      <w:pPr>
        <w:pStyle w:val="FootnoteText"/>
      </w:pPr>
      <w:r>
        <w:rPr>
          <w:rStyle w:val="FootnoteReference"/>
        </w:rPr>
        <w:footnoteRef/>
      </w:r>
      <w:r>
        <w:t xml:space="preserve"> NIST 800-52 section 3.1 Protocol Version Support </w:t>
      </w:r>
      <w:hyperlink r:id="rId1" w:history="1">
        <w:r w:rsidRPr="00872B39">
          <w:rPr>
            <w:rStyle w:val="Hyperlink"/>
          </w:rPr>
          <w:t>https://csrc.nist.gov/CSRC/media/Publications/sp/800-52/rev-2/draft/documents/sp800-52r2-draft2.pdf</w:t>
        </w:r>
      </w:hyperlink>
    </w:p>
  </w:footnote>
  <w:footnote w:id="4">
    <w:p w:rsidR="006D74A2" w:rsidRDefault="006D74A2" w:rsidP="00690B1C">
      <w:pPr>
        <w:pStyle w:val="FootnoteText"/>
      </w:pPr>
      <w:r>
        <w:rPr>
          <w:rStyle w:val="FootnoteReference"/>
        </w:rPr>
        <w:footnoteRef/>
      </w:r>
      <w:r>
        <w:t xml:space="preserve"> </w:t>
      </w:r>
      <w:hyperlink r:id="rId2" w:history="1">
        <w:r w:rsidRPr="00E26520">
          <w:rPr>
            <w:rStyle w:val="Hyperlink"/>
          </w:rPr>
          <w:t>https://www.owasp.org/images/7/72/OWASP_Top_10-2017_%28en%29.pdf.pdf</w:t>
        </w:r>
      </w:hyperlink>
      <w:r>
        <w:t xml:space="preserve"> </w:t>
      </w:r>
    </w:p>
  </w:footnote>
  <w:footnote w:id="5">
    <w:p w:rsidR="006D74A2" w:rsidRDefault="006D74A2" w:rsidP="00690B1C">
      <w:pPr>
        <w:pStyle w:val="FootnoteText"/>
      </w:pPr>
      <w:r>
        <w:rPr>
          <w:rStyle w:val="FootnoteReference"/>
        </w:rPr>
        <w:footnoteRef/>
      </w:r>
      <w:r>
        <w:t xml:space="preserve"> FIPS 140-2: </w:t>
      </w:r>
      <w:hyperlink r:id="rId3" w:history="1">
        <w:r w:rsidRPr="00E26520">
          <w:rPr>
            <w:rStyle w:val="Hyperlink"/>
          </w:rPr>
          <w:t>https://nvlpubs.nist.gov/nistpubs/FIPS/NIST.FIPS.140-2.pdf</w:t>
        </w:r>
      </w:hyperlink>
      <w:r>
        <w:t xml:space="preserve"> </w:t>
      </w:r>
    </w:p>
  </w:footnote>
  <w:footnote w:id="6">
    <w:p w:rsidR="006D74A2" w:rsidRDefault="006D74A2" w:rsidP="00690B1C">
      <w:pPr>
        <w:pStyle w:val="FootnoteText"/>
      </w:pPr>
      <w:r>
        <w:rPr>
          <w:rStyle w:val="FootnoteReference"/>
        </w:rPr>
        <w:footnoteRef/>
      </w:r>
      <w:r>
        <w:t xml:space="preserve"> Validated encryption modules: </w:t>
      </w:r>
      <w:hyperlink r:id="rId4" w:history="1">
        <w:r w:rsidRPr="00E26520">
          <w:rPr>
            <w:rStyle w:val="Hyperlink"/>
          </w:rPr>
          <w:t>https://csrc.nist.gov/Projects/Cryptographic-Module-Validation-Program/Validated-Modules</w:t>
        </w:r>
      </w:hyperlink>
      <w:r>
        <w:t xml:space="preserve"> </w:t>
      </w:r>
    </w:p>
  </w:footnote>
  <w:footnote w:id="7">
    <w:p w:rsidR="006D74A2" w:rsidRDefault="006D74A2" w:rsidP="00F25FD8">
      <w:pPr>
        <w:pStyle w:val="FootnoteText"/>
      </w:pPr>
      <w:r>
        <w:rPr>
          <w:rStyle w:val="FootnoteReference"/>
        </w:rPr>
        <w:footnoteRef/>
      </w:r>
      <w:r>
        <w:t xml:space="preserve"> </w:t>
      </w:r>
      <w:hyperlink r:id="rId5" w:history="1">
        <w:r w:rsidRPr="00013AC9">
          <w:rPr>
            <w:rStyle w:val="Hyperlink"/>
          </w:rPr>
          <w:t>https://www.sans.org/security-resources/policies/application-security/pdf/web-application-security-policy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41" w:rsidRDefault="001B0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4A2" w:rsidRDefault="0095163E" w:rsidP="00BD571F">
    <w:pPr>
      <w:pStyle w:val="BodyText"/>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32218630" r:id="rId2"/>
      </w:object>
    </w:r>
  </w:p>
  <w:p w:rsidR="006D74A2"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D74A2" w:rsidRPr="004D7CCB"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FF0000"/>
        <w:sz w:val="40"/>
        <w:szCs w:val="40"/>
      </w:rPr>
    </w:pPr>
  </w:p>
  <w:p w:rsidR="006D74A2"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WEQ</w:t>
    </w:r>
  </w:p>
  <w:p w:rsidR="006D74A2"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6D74A2"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  WEQ Cyber</w:t>
    </w:r>
    <w:r w:rsidR="002F194D">
      <w:rPr>
        <w:rFonts w:ascii="Arial" w:hAnsi="Arial" w:cs="Arial"/>
        <w:b/>
        <w:sz w:val="22"/>
      </w:rPr>
      <w:t>s</w:t>
    </w:r>
    <w:r>
      <w:rPr>
        <w:rFonts w:ascii="Arial" w:hAnsi="Arial" w:cs="Arial"/>
        <w:b/>
        <w:sz w:val="22"/>
      </w:rPr>
      <w:t>ecurity Subcommittee</w:t>
    </w:r>
    <w:r>
      <w:rPr>
        <w:rFonts w:ascii="Arial" w:hAnsi="Arial" w:cs="Arial"/>
        <w:b/>
        <w:sz w:val="22"/>
      </w:rPr>
      <w:tab/>
    </w:r>
  </w:p>
  <w:p w:rsidR="006D74A2"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1F358E">
      <w:rPr>
        <w:rFonts w:ascii="Arial" w:hAnsi="Arial" w:cs="Arial"/>
        <w:b/>
        <w:sz w:val="22"/>
      </w:rPr>
      <w:t>2019 WEQ Annual Plan Item 6.b.i</w:t>
    </w:r>
  </w:p>
  <w:p w:rsidR="006D74A2" w:rsidRPr="001B0741" w:rsidRDefault="006D74A2"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sz w:val="22"/>
      </w:rPr>
      <w:t xml:space="preserve">                                       Request Title: </w:t>
    </w:r>
    <w:bookmarkStart w:id="0" w:name="_GoBack"/>
    <w:r w:rsidR="001B0741">
      <w:rPr>
        <w:rFonts w:ascii="Arial" w:hAnsi="Arial" w:cs="Arial"/>
        <w:b/>
        <w:sz w:val="22"/>
      </w:rPr>
      <w:t xml:space="preserve">Develop and/or modify </w:t>
    </w:r>
    <w:r w:rsidR="001B0741" w:rsidRPr="001B0741">
      <w:rPr>
        <w:rFonts w:ascii="Arial" w:hAnsi="Arial" w:cs="Arial"/>
        <w:b/>
        <w:bCs/>
        <w:sz w:val="22"/>
        <w:szCs w:val="22"/>
      </w:rPr>
      <w:t>WEQ-012 and/or the NAESB Accreditation Requirements for Authorized Certification Authorities as needed to address Security Issues identified by Sandia National Laboratories</w:t>
    </w:r>
    <w:bookmarkEnd w:id="0"/>
  </w:p>
  <w:p w:rsidR="006D74A2" w:rsidRDefault="006D7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41" w:rsidRDefault="001B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rPr>
        <w:rFonts w:cs="Times New Roman"/>
      </w:r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1"/>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7811"/>
    <w:rsid w:val="000516BD"/>
    <w:rsid w:val="00053BCB"/>
    <w:rsid w:val="0005513F"/>
    <w:rsid w:val="0005562F"/>
    <w:rsid w:val="000557B2"/>
    <w:rsid w:val="000610F4"/>
    <w:rsid w:val="000634B2"/>
    <w:rsid w:val="0006487F"/>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741"/>
    <w:rsid w:val="001B0E11"/>
    <w:rsid w:val="001B129C"/>
    <w:rsid w:val="001B13DC"/>
    <w:rsid w:val="001B4E43"/>
    <w:rsid w:val="001B58E2"/>
    <w:rsid w:val="001B7FCC"/>
    <w:rsid w:val="001C15C0"/>
    <w:rsid w:val="001C3384"/>
    <w:rsid w:val="001C56D9"/>
    <w:rsid w:val="001C59AA"/>
    <w:rsid w:val="001C76C9"/>
    <w:rsid w:val="001D1496"/>
    <w:rsid w:val="001D3703"/>
    <w:rsid w:val="001D3E6D"/>
    <w:rsid w:val="001D59B5"/>
    <w:rsid w:val="001D6A70"/>
    <w:rsid w:val="001E5E2F"/>
    <w:rsid w:val="001E7C35"/>
    <w:rsid w:val="001F358E"/>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2C6"/>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B1CBF"/>
    <w:rsid w:val="002B732E"/>
    <w:rsid w:val="002B7613"/>
    <w:rsid w:val="002C1BC3"/>
    <w:rsid w:val="002C2C46"/>
    <w:rsid w:val="002C6909"/>
    <w:rsid w:val="002D1A7C"/>
    <w:rsid w:val="002D1DC5"/>
    <w:rsid w:val="002D7E36"/>
    <w:rsid w:val="002E70B9"/>
    <w:rsid w:val="002F0BB3"/>
    <w:rsid w:val="002F194D"/>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62B8"/>
    <w:rsid w:val="0033690A"/>
    <w:rsid w:val="003419CC"/>
    <w:rsid w:val="0034364B"/>
    <w:rsid w:val="00345DC2"/>
    <w:rsid w:val="00345EF5"/>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470B"/>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DC3"/>
    <w:rsid w:val="00477F9D"/>
    <w:rsid w:val="00481190"/>
    <w:rsid w:val="00481507"/>
    <w:rsid w:val="00481787"/>
    <w:rsid w:val="00484570"/>
    <w:rsid w:val="00486BFD"/>
    <w:rsid w:val="00487B06"/>
    <w:rsid w:val="00490858"/>
    <w:rsid w:val="00493CF9"/>
    <w:rsid w:val="00496A98"/>
    <w:rsid w:val="004A024E"/>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216EB"/>
    <w:rsid w:val="00530BCE"/>
    <w:rsid w:val="0053173D"/>
    <w:rsid w:val="005335B6"/>
    <w:rsid w:val="0053512D"/>
    <w:rsid w:val="00547E42"/>
    <w:rsid w:val="00553A90"/>
    <w:rsid w:val="00554B85"/>
    <w:rsid w:val="00557EE0"/>
    <w:rsid w:val="00562C3C"/>
    <w:rsid w:val="00563B3B"/>
    <w:rsid w:val="005649EA"/>
    <w:rsid w:val="00567E69"/>
    <w:rsid w:val="00570994"/>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2ACE"/>
    <w:rsid w:val="006D74A2"/>
    <w:rsid w:val="006D7EDB"/>
    <w:rsid w:val="006E4F53"/>
    <w:rsid w:val="006E6710"/>
    <w:rsid w:val="006E6848"/>
    <w:rsid w:val="006F28A8"/>
    <w:rsid w:val="006F5911"/>
    <w:rsid w:val="006F636F"/>
    <w:rsid w:val="00700B66"/>
    <w:rsid w:val="00700B93"/>
    <w:rsid w:val="00701E77"/>
    <w:rsid w:val="00702589"/>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90596"/>
    <w:rsid w:val="00893F0B"/>
    <w:rsid w:val="0089740E"/>
    <w:rsid w:val="008A0490"/>
    <w:rsid w:val="008A0A49"/>
    <w:rsid w:val="008A1E1E"/>
    <w:rsid w:val="008A255E"/>
    <w:rsid w:val="008A2574"/>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5163E"/>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B01E2"/>
    <w:rsid w:val="009B2395"/>
    <w:rsid w:val="009B3780"/>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D2F9B"/>
    <w:rsid w:val="00BD460B"/>
    <w:rsid w:val="00BD571F"/>
    <w:rsid w:val="00BE04CB"/>
    <w:rsid w:val="00BE260A"/>
    <w:rsid w:val="00BE4109"/>
    <w:rsid w:val="00BE5C2D"/>
    <w:rsid w:val="00BE5F9A"/>
    <w:rsid w:val="00BE6280"/>
    <w:rsid w:val="00BF040D"/>
    <w:rsid w:val="00BF05B1"/>
    <w:rsid w:val="00BF4AAD"/>
    <w:rsid w:val="00BF762B"/>
    <w:rsid w:val="00BF7655"/>
    <w:rsid w:val="00C0340F"/>
    <w:rsid w:val="00C073F3"/>
    <w:rsid w:val="00C112F0"/>
    <w:rsid w:val="00C11335"/>
    <w:rsid w:val="00C13A43"/>
    <w:rsid w:val="00C1457E"/>
    <w:rsid w:val="00C16C65"/>
    <w:rsid w:val="00C203AB"/>
    <w:rsid w:val="00C226E2"/>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3E1C"/>
    <w:rsid w:val="00C849B1"/>
    <w:rsid w:val="00C85C82"/>
    <w:rsid w:val="00C86747"/>
    <w:rsid w:val="00C879B1"/>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54B4"/>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6577F"/>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03E0"/>
    <w:rsid w:val="00EC6C16"/>
    <w:rsid w:val="00EC6E48"/>
    <w:rsid w:val="00EE5289"/>
    <w:rsid w:val="00EF05BD"/>
    <w:rsid w:val="00EF0AD7"/>
    <w:rsid w:val="00EF3DCD"/>
    <w:rsid w:val="00EF4C4B"/>
    <w:rsid w:val="00EF6B88"/>
    <w:rsid w:val="00F01EEC"/>
    <w:rsid w:val="00F03022"/>
    <w:rsid w:val="00F0352B"/>
    <w:rsid w:val="00F04493"/>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A6D59BA-24D7-41F6-940A-E14BF4DC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616D"/>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DD616D"/>
    <w:pPr>
      <w:spacing w:before="120" w:after="120"/>
      <w:outlineLvl w:val="2"/>
    </w:pPr>
    <w:rPr>
      <w:b/>
      <w:sz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Times New Roman"/>
      <w:sz w:val="28"/>
    </w:rPr>
  </w:style>
  <w:style w:type="character" w:customStyle="1" w:styleId="Heading2Char">
    <w:name w:val="Heading 2 Char"/>
    <w:basedOn w:val="DefaultParagraphFont"/>
    <w:link w:val="Heading2"/>
    <w:uiPriority w:val="99"/>
    <w:locked/>
    <w:rsid w:val="00A736FC"/>
    <w:rPr>
      <w:rFonts w:ascii="Arial" w:hAnsi="Arial" w:cs="Times New Roman"/>
      <w:b/>
      <w:sz w:val="24"/>
    </w:rPr>
  </w:style>
  <w:style w:type="character" w:customStyle="1" w:styleId="Heading3Char">
    <w:name w:val="Heading 3 Char"/>
    <w:basedOn w:val="DefaultParagraphFont"/>
    <w:link w:val="Heading3"/>
    <w:uiPriority w:val="99"/>
    <w:locked/>
    <w:rsid w:val="00A736FC"/>
    <w:rPr>
      <w:rFonts w:cs="Times New Roman"/>
      <w:b/>
      <w:sz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u w:val="single"/>
    </w:rPr>
  </w:style>
  <w:style w:type="character" w:customStyle="1" w:styleId="Heading8Char">
    <w:name w:val="Heading 8 Char"/>
    <w:basedOn w:val="DefaultParagraphFont"/>
    <w:link w:val="Heading8"/>
    <w:uiPriority w:val="99"/>
    <w:locked/>
    <w:rsid w:val="00A736FC"/>
    <w:rPr>
      <w:rFonts w:ascii="Arial" w:hAnsi="Arial" w:cs="Arial"/>
      <w:b/>
      <w:bCs/>
      <w:snapToGrid w:val="0"/>
    </w:rPr>
  </w:style>
  <w:style w:type="character" w:customStyle="1" w:styleId="Heading9Char">
    <w:name w:val="Heading 9 Char"/>
    <w:basedOn w:val="DefaultParagraphFont"/>
    <w:link w:val="Heading9"/>
    <w:uiPriority w:val="99"/>
    <w:locked/>
    <w:rsid w:val="00DF177E"/>
    <w:rPr>
      <w:rFonts w:ascii="Arial" w:hAnsi="Arial" w:cs="Times New Roman"/>
      <w:b/>
      <w:sz w:val="24"/>
      <w:u w:val="single"/>
    </w:rPr>
  </w:style>
  <w:style w:type="paragraph" w:customStyle="1" w:styleId="DefaultText">
    <w:name w:val="Default Text"/>
    <w:basedOn w:val="Normal"/>
    <w:link w:val="DefaultTextChar"/>
    <w:rsid w:val="00DD616D"/>
    <w:rPr>
      <w:sz w:val="24"/>
    </w:rPr>
  </w:style>
  <w:style w:type="character" w:customStyle="1" w:styleId="DefaultTextChar">
    <w:name w:val="Default Text Char"/>
    <w:basedOn w:val="DefaultParagraphFont"/>
    <w:link w:val="DefaultText"/>
    <w:uiPriority w:val="99"/>
    <w:locked/>
    <w:rsid w:val="00DB48FE"/>
    <w:rPr>
      <w:rFonts w:cs="Times New Roman"/>
      <w:sz w:val="24"/>
    </w:rPr>
  </w:style>
  <w:style w:type="paragraph" w:styleId="Title">
    <w:name w:val="Title"/>
    <w:basedOn w:val="Normal"/>
    <w:link w:val="TitleChar"/>
    <w:uiPriority w:val="99"/>
    <w:qFormat/>
    <w:rsid w:val="00DD616D"/>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A736FC"/>
    <w:rPr>
      <w:rFonts w:ascii="Arial Black" w:hAnsi="Arial Black" w:cs="Times New Roman"/>
      <w:sz w:val="48"/>
    </w:rPr>
  </w:style>
  <w:style w:type="paragraph" w:customStyle="1" w:styleId="BodySingle">
    <w:name w:val="Body Single"/>
    <w:basedOn w:val="Normal"/>
    <w:uiPriority w:val="99"/>
    <w:rsid w:val="00DD616D"/>
    <w:rPr>
      <w:sz w:val="24"/>
    </w:rPr>
  </w:style>
  <w:style w:type="paragraph" w:customStyle="1" w:styleId="Bullet1">
    <w:name w:val="Bullet 1"/>
    <w:basedOn w:val="Normal"/>
    <w:uiPriority w:val="99"/>
    <w:rsid w:val="00DD616D"/>
    <w:rPr>
      <w:sz w:val="24"/>
    </w:rPr>
  </w:style>
  <w:style w:type="paragraph" w:customStyle="1" w:styleId="Bullet2">
    <w:name w:val="Bullet 2"/>
    <w:basedOn w:val="Normal"/>
    <w:uiPriority w:val="99"/>
    <w:rsid w:val="00DD616D"/>
    <w:rPr>
      <w:sz w:val="24"/>
    </w:rPr>
  </w:style>
  <w:style w:type="paragraph" w:customStyle="1" w:styleId="FirstLineIndent">
    <w:name w:val="First Line Indent"/>
    <w:basedOn w:val="Normal"/>
    <w:uiPriority w:val="99"/>
    <w:rsid w:val="00DD616D"/>
    <w:pPr>
      <w:ind w:firstLine="720"/>
    </w:pPr>
    <w:rPr>
      <w:sz w:val="24"/>
    </w:rPr>
  </w:style>
  <w:style w:type="paragraph" w:customStyle="1" w:styleId="NumberList">
    <w:name w:val="Number List"/>
    <w:basedOn w:val="Normal"/>
    <w:uiPriority w:val="99"/>
    <w:rsid w:val="00DD616D"/>
    <w:rPr>
      <w:sz w:val="24"/>
    </w:rPr>
  </w:style>
  <w:style w:type="paragraph" w:customStyle="1" w:styleId="OutlineNumbering">
    <w:name w:val="Outline Numbering"/>
    <w:basedOn w:val="Normal"/>
    <w:uiPriority w:val="99"/>
    <w:rsid w:val="00DD616D"/>
    <w:rPr>
      <w:sz w:val="24"/>
    </w:rPr>
  </w:style>
  <w:style w:type="paragraph" w:customStyle="1" w:styleId="TableText">
    <w:name w:val="Table Text"/>
    <w:basedOn w:val="Normal"/>
    <w:uiPriority w:val="99"/>
    <w:rsid w:val="00DD616D"/>
    <w:pPr>
      <w:tabs>
        <w:tab w:val="decimal" w:pos="0"/>
      </w:tabs>
    </w:pPr>
    <w:rPr>
      <w:sz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rPr>
      <w:rFonts w:cs="Times New Roman"/>
    </w:rPr>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rPr>
      <w:rFonts w:cs="Times New Roman"/>
    </w:rPr>
  </w:style>
  <w:style w:type="character" w:styleId="PageNumber">
    <w:name w:val="page number"/>
    <w:basedOn w:val="DefaultParagraphFont"/>
    <w:rsid w:val="00DD616D"/>
    <w:rPr>
      <w:rFonts w:cs="Times New Roman"/>
    </w:rPr>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semiHidden/>
    <w:rsid w:val="00DD616D"/>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basedOn w:val="DefaultParagraphFont"/>
    <w:uiPriority w:val="99"/>
    <w:semiHidden/>
    <w:locked/>
    <w:rsid w:val="00A736FC"/>
    <w:rPr>
      <w:rFonts w:ascii="Times New Roman" w:hAnsi="Times New Roman" w:cs="Times New Roman"/>
      <w:sz w:val="20"/>
      <w:szCs w:val="20"/>
    </w:rPr>
  </w:style>
  <w:style w:type="character" w:customStyle="1" w:styleId="FootnoteTextChar2">
    <w:name w:val="Footnote Text Char2"/>
    <w:aliases w:val="Footnote Text Char1 Char Char1,Footnote Text Char Char Char Char1,Footnote Text Char1 Char2,Footnote Text Char Char1 Char1,fn Char1,Footnote Text Char Char Char2,Footnote Text Char1 Char Char Char1 Char1,Footnote Text MRP Char1"/>
    <w:basedOn w:val="DefaultParagraphFont"/>
    <w:link w:val="FootnoteText"/>
    <w:uiPriority w:val="99"/>
    <w:locked/>
    <w:rsid w:val="00A736FC"/>
    <w:rPr>
      <w:rFonts w:cs="Times New Roman"/>
    </w:rPr>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rFonts w:cs="Times New Roman"/>
      <w:vertAlign w:val="superscript"/>
    </w:rPr>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sz w:val="22"/>
    </w:rPr>
  </w:style>
  <w:style w:type="character" w:customStyle="1" w:styleId="BodyText2Char">
    <w:name w:val="Body Text 2 Char"/>
    <w:basedOn w:val="DefaultParagraphFont"/>
    <w:link w:val="BodyText2"/>
    <w:uiPriority w:val="99"/>
    <w:locked/>
    <w:rsid w:val="00A736FC"/>
    <w:rPr>
      <w:rFonts w:ascii="Arial" w:hAnsi="Arial" w:cs="Times New Roman"/>
      <w:snapToGrid w:val="0"/>
      <w:sz w:val="22"/>
    </w:rPr>
  </w:style>
  <w:style w:type="table" w:styleId="TableGrid">
    <w:name w:val="Table Grid"/>
    <w:basedOn w:val="TableNormal"/>
    <w:uiPriority w:val="99"/>
    <w:rsid w:val="00A736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pPr>
    <w:rPr>
      <w:color w:val="000000"/>
      <w:sz w:val="24"/>
      <w:szCs w:val="20"/>
    </w:rPr>
  </w:style>
  <w:style w:type="paragraph" w:styleId="ListParagraph">
    <w:name w:val="List Paragraph"/>
    <w:basedOn w:val="Normal"/>
    <w:uiPriority w:val="99"/>
    <w:qFormat/>
    <w:rsid w:val="00A736FC"/>
    <w:pPr>
      <w:ind w:left="720"/>
      <w:contextualSpacing/>
    </w:pPr>
  </w:style>
  <w:style w:type="character" w:customStyle="1" w:styleId="InitialStyle">
    <w:name w:val="InitialStyle"/>
    <w:uiPriority w:val="99"/>
    <w:rsid w:val="00A736FC"/>
    <w:rPr>
      <w:rFonts w:ascii="Times New Roman" w:hAnsi="Times New Roman"/>
      <w:color w:val="auto"/>
      <w:spacing w:val="0"/>
      <w:sz w:val="26"/>
    </w:rPr>
  </w:style>
  <w:style w:type="paragraph" w:styleId="CommentText">
    <w:name w:val="annotation text"/>
    <w:basedOn w:val="Normal"/>
    <w:link w:val="CommentTextChar"/>
    <w:uiPriority w:val="99"/>
    <w:rsid w:val="00A736FC"/>
  </w:style>
  <w:style w:type="character" w:customStyle="1" w:styleId="CommentTextChar">
    <w:name w:val="Comment Text Char"/>
    <w:basedOn w:val="DefaultParagraphFont"/>
    <w:link w:val="CommentText"/>
    <w:uiPriority w:val="99"/>
    <w:locked/>
    <w:rsid w:val="00A736FC"/>
    <w:rPr>
      <w:rFonts w:cs="Times New Roman"/>
    </w:rPr>
  </w:style>
  <w:style w:type="character" w:styleId="CommentReference">
    <w:name w:val="annotation reference"/>
    <w:basedOn w:val="DefaultParagraphFont"/>
    <w:uiPriority w:val="99"/>
    <w:rsid w:val="00A736FC"/>
    <w:rPr>
      <w:rFonts w:cs="Times New Roman"/>
      <w:sz w:val="16"/>
    </w:rPr>
  </w:style>
  <w:style w:type="paragraph" w:styleId="BalloonText">
    <w:name w:val="Balloon Text"/>
    <w:basedOn w:val="Normal"/>
    <w:link w:val="BalloonTextChar"/>
    <w:uiPriority w:val="99"/>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rsid w:val="00A736FC"/>
    <w:rPr>
      <w:b/>
      <w:bCs/>
    </w:rPr>
  </w:style>
  <w:style w:type="character" w:customStyle="1" w:styleId="CommentSubjectChar">
    <w:name w:val="Comment Subject Char"/>
    <w:basedOn w:val="CommentTextChar"/>
    <w:link w:val="CommentSubject"/>
    <w:uiPriority w:val="99"/>
    <w:locked/>
    <w:rsid w:val="00A736FC"/>
    <w:rPr>
      <w:rFonts w:cs="Times New Roman"/>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rFonts w:cs="Times New Roman"/>
      <w:color w:val="0000FF"/>
      <w:u w:val="single"/>
    </w:rPr>
  </w:style>
  <w:style w:type="paragraph" w:styleId="Revision">
    <w:name w:val="Revision"/>
    <w:hidden/>
    <w:uiPriority w:val="99"/>
    <w:semiHidden/>
    <w:rsid w:val="008E6F5E"/>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rFonts w:cs="Times New Roman"/>
      <w:sz w:val="16"/>
      <w:szCs w:val="16"/>
    </w:rPr>
  </w:style>
  <w:style w:type="character" w:customStyle="1" w:styleId="UnresolvedMention1">
    <w:name w:val="Unresolved Mention1"/>
    <w:basedOn w:val="DefaultParagraphFont"/>
    <w:uiPriority w:val="99"/>
    <w:semiHidden/>
    <w:rsid w:val="00287453"/>
    <w:rPr>
      <w:rFonts w:cs="Times New Roman"/>
      <w:color w:val="605E5C"/>
      <w:shd w:val="clear" w:color="auto" w:fill="E1DFDD"/>
    </w:rPr>
  </w:style>
  <w:style w:type="character" w:customStyle="1" w:styleId="UnresolvedMention2">
    <w:name w:val="Unresolved Mention2"/>
    <w:basedOn w:val="DefaultParagraphFont"/>
    <w:uiPriority w:val="99"/>
    <w:semiHidden/>
    <w:rsid w:val="00846C20"/>
    <w:rPr>
      <w:rFonts w:cs="Times New Roman"/>
      <w:color w:val="808080"/>
      <w:shd w:val="clear" w:color="auto" w:fill="E6E6E6"/>
    </w:rPr>
  </w:style>
  <w:style w:type="paragraph" w:customStyle="1" w:styleId="QuickA">
    <w:name w:val="Quick A."/>
    <w:basedOn w:val="Normal"/>
    <w:uiPriority w:val="99"/>
    <w:rsid w:val="00DF177E"/>
    <w:pPr>
      <w:ind w:left="720" w:hanging="720"/>
    </w:pPr>
    <w:rPr>
      <w:rFonts w:ascii="Arial" w:hAnsi="Arial"/>
      <w:b/>
      <w:sz w:val="22"/>
    </w:rPr>
  </w:style>
  <w:style w:type="character" w:customStyle="1" w:styleId="BodyTextIndent3Char">
    <w:name w:val="Body Text Indent 3 Char"/>
    <w:uiPriority w:val="99"/>
    <w:locked/>
    <w:rsid w:val="00DF177E"/>
    <w:rPr>
      <w:rFonts w:ascii="Arial" w:hAnsi="Arial"/>
      <w:sz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sz w:val="22"/>
    </w:rPr>
  </w:style>
  <w:style w:type="character" w:customStyle="1" w:styleId="BodyTextIndent3Char1">
    <w:name w:val="Body Text Indent 3 Char1"/>
    <w:basedOn w:val="DefaultParagraphFont"/>
    <w:link w:val="BodyTextIndent3"/>
    <w:uiPriority w:val="99"/>
    <w:semiHidden/>
    <w:locked/>
    <w:rsid w:val="00F93F89"/>
    <w:rPr>
      <w:rFonts w:cs="Times New Roman"/>
      <w:sz w:val="16"/>
      <w:szCs w:val="16"/>
    </w:rPr>
  </w:style>
  <w:style w:type="paragraph" w:customStyle="1" w:styleId="QuickFormat1">
    <w:name w:val="QuickFormat1"/>
    <w:uiPriority w:val="99"/>
    <w:rsid w:val="00DF177E"/>
    <w:rPr>
      <w:rFonts w:ascii="Times New" w:hAnsi="Times New"/>
      <w:sz w:val="24"/>
      <w:szCs w:val="20"/>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rPr>
  </w:style>
  <w:style w:type="paragraph" w:styleId="PlainText">
    <w:name w:val="Plain Text"/>
    <w:basedOn w:val="Normal"/>
    <w:link w:val="PlainTextChar1"/>
    <w:uiPriority w:val="99"/>
    <w:rsid w:val="00DF177E"/>
    <w:rPr>
      <w:rFonts w:ascii="Courier New" w:hAnsi="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rPr>
  </w:style>
  <w:style w:type="character" w:customStyle="1" w:styleId="DocumentMapChar1">
    <w:name w:val="Document Map Char1"/>
    <w:basedOn w:val="DefaultParagraphFont"/>
    <w:link w:val="DocumentMap"/>
    <w:uiPriority w:val="99"/>
    <w:semiHidden/>
    <w:locked/>
    <w:rsid w:val="00F93F89"/>
    <w:rPr>
      <w:rFonts w:cs="Times New Roman"/>
      <w:sz w:val="2"/>
    </w:rPr>
  </w:style>
  <w:style w:type="character" w:customStyle="1" w:styleId="Footer1">
    <w:name w:val="Footer1"/>
    <w:basedOn w:val="DefaultParagraphFont"/>
    <w:uiPriority w:val="99"/>
    <w:rsid w:val="001A65DE"/>
    <w:rPr>
      <w:rFonts w:cs="Times New Roman"/>
    </w:rPr>
  </w:style>
  <w:style w:type="character" w:customStyle="1" w:styleId="FOOTNOTETEX">
    <w:name w:val="FOOTNOTE TEX"/>
    <w:basedOn w:val="DefaultParagraphFont"/>
    <w:uiPriority w:val="99"/>
    <w:rsid w:val="001A65DE"/>
    <w:rPr>
      <w:rFonts w:cs="Times New Roman"/>
    </w:rPr>
  </w:style>
  <w:style w:type="character" w:customStyle="1" w:styleId="Heading91">
    <w:name w:val="Heading 91"/>
    <w:basedOn w:val="DefaultParagraphFont"/>
    <w:uiPriority w:val="99"/>
    <w:rsid w:val="001A65DE"/>
    <w:rPr>
      <w:rFonts w:cs="Times New Roman"/>
    </w:rPr>
  </w:style>
  <w:style w:type="character" w:customStyle="1" w:styleId="Heading81">
    <w:name w:val="Heading 81"/>
    <w:basedOn w:val="DefaultParagraphFont"/>
    <w:uiPriority w:val="99"/>
    <w:rsid w:val="001A65DE"/>
    <w:rPr>
      <w:rFonts w:cs="Times New Roman"/>
    </w:rPr>
  </w:style>
  <w:style w:type="character" w:customStyle="1" w:styleId="Heading71">
    <w:name w:val="Heading 71"/>
    <w:basedOn w:val="DefaultParagraphFont"/>
    <w:uiPriority w:val="99"/>
    <w:rsid w:val="001A65DE"/>
    <w:rPr>
      <w:rFonts w:cs="Times New Roman"/>
    </w:rPr>
  </w:style>
  <w:style w:type="character" w:customStyle="1" w:styleId="Heading61">
    <w:name w:val="Heading 61"/>
    <w:basedOn w:val="DefaultParagraphFont"/>
    <w:uiPriority w:val="99"/>
    <w:rsid w:val="001A65DE"/>
    <w:rPr>
      <w:rFonts w:cs="Times New Roman"/>
    </w:rPr>
  </w:style>
  <w:style w:type="character" w:customStyle="1" w:styleId="Heading51">
    <w:name w:val="Heading 51"/>
    <w:basedOn w:val="DefaultParagraphFont"/>
    <w:uiPriority w:val="99"/>
    <w:rsid w:val="001A65DE"/>
    <w:rPr>
      <w:rFonts w:cs="Times New Roman"/>
    </w:rPr>
  </w:style>
  <w:style w:type="character" w:customStyle="1" w:styleId="Heading41">
    <w:name w:val="Heading 41"/>
    <w:basedOn w:val="DefaultParagraphFont"/>
    <w:uiPriority w:val="99"/>
    <w:rsid w:val="001A65DE"/>
    <w:rPr>
      <w:rFonts w:ascii="CG Times" w:hAnsi="CG Times" w:cs="Times New Roman"/>
      <w:sz w:val="24"/>
    </w:rPr>
  </w:style>
  <w:style w:type="character" w:customStyle="1" w:styleId="Heading31">
    <w:name w:val="Heading 31"/>
    <w:basedOn w:val="DefaultParagraphFont"/>
    <w:uiPriority w:val="99"/>
    <w:rsid w:val="001A65DE"/>
    <w:rPr>
      <w:rFonts w:ascii="Univers" w:hAnsi="Univers" w:cs="Times New Roman"/>
      <w:sz w:val="24"/>
    </w:rPr>
  </w:style>
  <w:style w:type="character" w:customStyle="1" w:styleId="Heading21">
    <w:name w:val="Heading 21"/>
    <w:basedOn w:val="DefaultParagraphFont"/>
    <w:uiPriority w:val="99"/>
    <w:rsid w:val="001A65DE"/>
    <w:rPr>
      <w:rFonts w:ascii="Univers" w:hAnsi="Univers" w:cs="Times New Roman"/>
      <w:sz w:val="24"/>
    </w:rPr>
  </w:style>
  <w:style w:type="character" w:customStyle="1" w:styleId="Heading11">
    <w:name w:val="Heading 11"/>
    <w:basedOn w:val="DefaultParagraphFont"/>
    <w:uiPriority w:val="99"/>
    <w:rsid w:val="001A65DE"/>
    <w:rPr>
      <w:rFonts w:ascii="Arial" w:hAnsi="Arial" w:cs="Times New Roman"/>
      <w:sz w:val="28"/>
    </w:rPr>
  </w:style>
  <w:style w:type="character" w:customStyle="1" w:styleId="List21">
    <w:name w:val="List 21"/>
    <w:basedOn w:val="DefaultParagraphFont"/>
    <w:uiPriority w:val="99"/>
    <w:rsid w:val="001A65DE"/>
    <w:rPr>
      <w:rFonts w:cs="Times New Roman"/>
    </w:rPr>
  </w:style>
  <w:style w:type="character" w:customStyle="1" w:styleId="BodyText1">
    <w:name w:val="Body Text1"/>
    <w:basedOn w:val="DefaultParagraphFont"/>
    <w:uiPriority w:val="99"/>
    <w:rsid w:val="001A65DE"/>
    <w:rPr>
      <w:rFonts w:cs="Times New Roman"/>
    </w:rPr>
  </w:style>
  <w:style w:type="character" w:customStyle="1" w:styleId="DefaultPara">
    <w:name w:val="Default Para"/>
    <w:basedOn w:val="DefaultParagraphFont"/>
    <w:uiPriority w:val="99"/>
    <w:rsid w:val="001A65DE"/>
    <w:rPr>
      <w:rFonts w:ascii="CG Times" w:hAnsi="CG Times" w:cs="Times New Roman"/>
      <w:sz w:val="24"/>
    </w:rPr>
  </w:style>
  <w:style w:type="character" w:customStyle="1" w:styleId="PageNumber1">
    <w:name w:val="Page Number1"/>
    <w:basedOn w:val="DefaultParagraphFont"/>
    <w:uiPriority w:val="99"/>
    <w:rsid w:val="001A65DE"/>
    <w:rPr>
      <w:rFonts w:ascii="CG Times" w:hAnsi="CG Times" w:cs="Times New Roman"/>
      <w:sz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sz w:val="22"/>
    </w:rPr>
  </w:style>
  <w:style w:type="paragraph" w:customStyle="1" w:styleId="Quicka0">
    <w:name w:val="Quick a)"/>
    <w:basedOn w:val="Normal"/>
    <w:uiPriority w:val="99"/>
    <w:rsid w:val="001A65DE"/>
    <w:pPr>
      <w:ind w:left="720" w:hanging="720"/>
    </w:pPr>
    <w:rPr>
      <w:rFonts w:ascii="Arial" w:hAnsi="Arial"/>
      <w:sz w:val="22"/>
    </w:rPr>
  </w:style>
  <w:style w:type="paragraph" w:customStyle="1" w:styleId="Quick1">
    <w:name w:val="Quick 1)"/>
    <w:uiPriority w:val="99"/>
    <w:rsid w:val="001A65DE"/>
    <w:pPr>
      <w:ind w:left="-1440"/>
    </w:pPr>
    <w:rPr>
      <w:sz w:val="24"/>
      <w:szCs w:val="20"/>
    </w:rPr>
  </w:style>
  <w:style w:type="paragraph" w:customStyle="1" w:styleId="Quick10">
    <w:name w:val="Quick 1."/>
    <w:basedOn w:val="Normal"/>
    <w:uiPriority w:val="99"/>
    <w:rsid w:val="001A65DE"/>
    <w:pPr>
      <w:widowControl w:val="0"/>
      <w:ind w:left="1440" w:hanging="720"/>
      <w:jc w:val="both"/>
    </w:pPr>
    <w:rPr>
      <w:rFonts w:ascii="Arial" w:hAnsi="Arial"/>
      <w:color w:val="000000"/>
      <w:sz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olor w:val="000000"/>
      <w:sz w:val="22"/>
    </w:rPr>
  </w:style>
  <w:style w:type="paragraph" w:customStyle="1" w:styleId="IntroTab">
    <w:name w:val="IntroTab"/>
    <w:basedOn w:val="GISBDefaultParagraph"/>
    <w:uiPriority w:val="99"/>
    <w:rsid w:val="001A65DE"/>
    <w:pPr>
      <w:keepNext/>
    </w:pPr>
    <w:rPr>
      <w:b/>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olor w:val="000000"/>
      <w:sz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olor w:val="000000"/>
      <w:sz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sz w:val="28"/>
      <w:szCs w:val="28"/>
    </w:rPr>
  </w:style>
  <w:style w:type="paragraph" w:styleId="TOC2">
    <w:name w:val="toc 2"/>
    <w:basedOn w:val="Normal"/>
    <w:next w:val="Normal"/>
    <w:autoRedefine/>
    <w:uiPriority w:val="99"/>
    <w:semiHidden/>
    <w:rsid w:val="001A65DE"/>
    <w:pPr>
      <w:spacing w:before="240"/>
    </w:pPr>
    <w:rPr>
      <w:b/>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b/>
      <w:kern w:val="28"/>
      <w:sz w:val="36"/>
    </w:rPr>
  </w:style>
  <w:style w:type="paragraph" w:styleId="List">
    <w:name w:val="List"/>
    <w:basedOn w:val="Normal"/>
    <w:uiPriority w:val="99"/>
    <w:rsid w:val="001A65DE"/>
    <w:pPr>
      <w:spacing w:after="240"/>
      <w:ind w:left="360" w:hanging="360"/>
    </w:pPr>
    <w:rPr>
      <w:sz w:val="22"/>
    </w:rPr>
  </w:style>
  <w:style w:type="paragraph" w:customStyle="1" w:styleId="PolicyHeading">
    <w:name w:val="Policy Heading"/>
    <w:basedOn w:val="Normal"/>
    <w:next w:val="Normal"/>
    <w:uiPriority w:val="99"/>
    <w:rsid w:val="001A65DE"/>
    <w:pPr>
      <w:spacing w:after="240"/>
    </w:pPr>
    <w:rPr>
      <w:rFonts w:ascii="Arial" w:hAnsi="Arial"/>
      <w:b/>
      <w:sz w:val="32"/>
    </w:rPr>
  </w:style>
  <w:style w:type="paragraph" w:customStyle="1" w:styleId="PolicySubheading">
    <w:name w:val="Policy Subheading"/>
    <w:basedOn w:val="Heading2"/>
    <w:uiPriority w:val="99"/>
    <w:rsid w:val="001A65DE"/>
    <w:pPr>
      <w:keepNext/>
      <w:spacing w:before="240" w:after="60"/>
    </w:pPr>
    <w:rPr>
      <w:rFonts w:ascii="Arial Bold" w:hAnsi="Arial Bold"/>
      <w:i/>
      <w:sz w:val="26"/>
    </w:rPr>
  </w:style>
  <w:style w:type="paragraph" w:customStyle="1" w:styleId="HTMLBody">
    <w:name w:val="HTML Body"/>
    <w:uiPriority w:val="99"/>
    <w:rsid w:val="001A65DE"/>
    <w:rPr>
      <w:rFonts w:ascii="Arial" w:hAnsi="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sz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sz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sz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sz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sz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sz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sz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rPr>
  </w:style>
  <w:style w:type="paragraph" w:customStyle="1" w:styleId="Bullets">
    <w:name w:val="Bullets"/>
    <w:basedOn w:val="Normal"/>
    <w:uiPriority w:val="99"/>
    <w:rsid w:val="001A65DE"/>
    <w:pPr>
      <w:tabs>
        <w:tab w:val="num" w:pos="360"/>
      </w:tabs>
      <w:spacing w:after="240"/>
      <w:ind w:left="360" w:hanging="360"/>
    </w:pPr>
    <w:rPr>
      <w:sz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sz w:val="22"/>
      <w:szCs w:val="24"/>
    </w:rPr>
  </w:style>
  <w:style w:type="paragraph" w:customStyle="1" w:styleId="NormalNERC">
    <w:name w:val="Normal NERC"/>
    <w:basedOn w:val="Normal"/>
    <w:uiPriority w:val="99"/>
    <w:rsid w:val="001A65DE"/>
    <w:pPr>
      <w:spacing w:after="240"/>
    </w:pPr>
    <w:rPr>
      <w:sz w:val="22"/>
    </w:rPr>
  </w:style>
  <w:style w:type="paragraph" w:customStyle="1" w:styleId="Heading30">
    <w:name w:val="Heading3"/>
    <w:basedOn w:val="Heading3"/>
    <w:uiPriority w:val="99"/>
    <w:rsid w:val="001A65DE"/>
    <w:pPr>
      <w:keepNext/>
      <w:spacing w:before="240" w:after="60"/>
    </w:pPr>
    <w:rPr>
      <w:rFonts w:ascii="Arial" w:hAnsi="Arial"/>
      <w:b w:val="0"/>
    </w:rPr>
  </w:style>
  <w:style w:type="character" w:styleId="LineNumber">
    <w:name w:val="line number"/>
    <w:basedOn w:val="DefaultParagraphFont"/>
    <w:uiPriority w:val="99"/>
    <w:rsid w:val="001A65DE"/>
    <w:rPr>
      <w:rFonts w:cs="Times New Roman"/>
    </w:rPr>
  </w:style>
  <w:style w:type="character" w:styleId="FollowedHyperlink">
    <w:name w:val="FollowedHyperlink"/>
    <w:basedOn w:val="DefaultParagraphFont"/>
    <w:uiPriority w:val="99"/>
    <w:rsid w:val="001A65DE"/>
    <w:rPr>
      <w:rFonts w:cs="Times New Roman"/>
      <w:color w:val="800080"/>
      <w:u w:val="single"/>
    </w:rPr>
  </w:style>
  <w:style w:type="character" w:styleId="Emphasis">
    <w:name w:val="Emphasis"/>
    <w:basedOn w:val="DefaultParagraphFont"/>
    <w:uiPriority w:val="99"/>
    <w:qFormat/>
    <w:rsid w:val="001A65DE"/>
    <w:rPr>
      <w:rFonts w:cs="Times New Roman"/>
      <w:i/>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rPr>
      <w:rFonts w:cs="Times New Roman"/>
    </w:rPr>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rPr>
      <w:rFonts w:cs="Times New Roman"/>
    </w:rPr>
  </w:style>
  <w:style w:type="paragraph" w:styleId="EndnoteText">
    <w:name w:val="endnote text"/>
    <w:basedOn w:val="Normal"/>
    <w:link w:val="EndnoteTextChar"/>
    <w:uiPriority w:val="99"/>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1395">
      <w:bodyDiv w:val="1"/>
      <w:marLeft w:val="0"/>
      <w:marRight w:val="0"/>
      <w:marTop w:val="0"/>
      <w:marBottom w:val="0"/>
      <w:divBdr>
        <w:top w:val="none" w:sz="0" w:space="0" w:color="auto"/>
        <w:left w:val="none" w:sz="0" w:space="0" w:color="auto"/>
        <w:bottom w:val="none" w:sz="0" w:space="0" w:color="auto"/>
        <w:right w:val="none" w:sz="0" w:space="0" w:color="auto"/>
      </w:divBdr>
    </w:div>
    <w:div w:id="549655571">
      <w:bodyDiv w:val="1"/>
      <w:marLeft w:val="0"/>
      <w:marRight w:val="0"/>
      <w:marTop w:val="0"/>
      <w:marBottom w:val="0"/>
      <w:divBdr>
        <w:top w:val="none" w:sz="0" w:space="0" w:color="auto"/>
        <w:left w:val="none" w:sz="0" w:space="0" w:color="auto"/>
        <w:bottom w:val="none" w:sz="0" w:space="0" w:color="auto"/>
        <w:right w:val="none" w:sz="0" w:space="0" w:color="auto"/>
      </w:divBdr>
    </w:div>
    <w:div w:id="1681544832">
      <w:marLeft w:val="0"/>
      <w:marRight w:val="0"/>
      <w:marTop w:val="0"/>
      <w:marBottom w:val="0"/>
      <w:divBdr>
        <w:top w:val="none" w:sz="0" w:space="0" w:color="auto"/>
        <w:left w:val="none" w:sz="0" w:space="0" w:color="auto"/>
        <w:bottom w:val="none" w:sz="0" w:space="0" w:color="auto"/>
        <w:right w:val="none" w:sz="0" w:space="0" w:color="auto"/>
      </w:divBdr>
      <w:divsChild>
        <w:div w:id="1681544835">
          <w:marLeft w:val="547"/>
          <w:marRight w:val="0"/>
          <w:marTop w:val="82"/>
          <w:marBottom w:val="0"/>
          <w:divBdr>
            <w:top w:val="none" w:sz="0" w:space="0" w:color="auto"/>
            <w:left w:val="none" w:sz="0" w:space="0" w:color="auto"/>
            <w:bottom w:val="none" w:sz="0" w:space="0" w:color="auto"/>
            <w:right w:val="none" w:sz="0" w:space="0" w:color="auto"/>
          </w:divBdr>
        </w:div>
      </w:divsChild>
    </w:div>
    <w:div w:id="1681544833">
      <w:marLeft w:val="0"/>
      <w:marRight w:val="0"/>
      <w:marTop w:val="0"/>
      <w:marBottom w:val="0"/>
      <w:divBdr>
        <w:top w:val="none" w:sz="0" w:space="0" w:color="auto"/>
        <w:left w:val="none" w:sz="0" w:space="0" w:color="auto"/>
        <w:bottom w:val="none" w:sz="0" w:space="0" w:color="auto"/>
        <w:right w:val="none" w:sz="0" w:space="0" w:color="auto"/>
      </w:divBdr>
    </w:div>
    <w:div w:id="1681544834">
      <w:marLeft w:val="0"/>
      <w:marRight w:val="0"/>
      <w:marTop w:val="0"/>
      <w:marBottom w:val="0"/>
      <w:divBdr>
        <w:top w:val="none" w:sz="0" w:space="0" w:color="auto"/>
        <w:left w:val="none" w:sz="0" w:space="0" w:color="auto"/>
        <w:bottom w:val="none" w:sz="0" w:space="0" w:color="auto"/>
        <w:right w:val="none" w:sz="0" w:space="0" w:color="auto"/>
      </w:divBdr>
    </w:div>
    <w:div w:id="1681544836">
      <w:marLeft w:val="0"/>
      <w:marRight w:val="0"/>
      <w:marTop w:val="0"/>
      <w:marBottom w:val="0"/>
      <w:divBdr>
        <w:top w:val="none" w:sz="0" w:space="0" w:color="auto"/>
        <w:left w:val="none" w:sz="0" w:space="0" w:color="auto"/>
        <w:bottom w:val="none" w:sz="0" w:space="0" w:color="auto"/>
        <w:right w:val="none" w:sz="0" w:space="0" w:color="auto"/>
      </w:divBdr>
    </w:div>
    <w:div w:id="1681544837">
      <w:marLeft w:val="0"/>
      <w:marRight w:val="0"/>
      <w:marTop w:val="0"/>
      <w:marBottom w:val="0"/>
      <w:divBdr>
        <w:top w:val="none" w:sz="0" w:space="0" w:color="auto"/>
        <w:left w:val="none" w:sz="0" w:space="0" w:color="auto"/>
        <w:bottom w:val="none" w:sz="0" w:space="0" w:color="auto"/>
        <w:right w:val="none" w:sz="0" w:space="0" w:color="auto"/>
      </w:divBdr>
    </w:div>
    <w:div w:id="1681544838">
      <w:marLeft w:val="0"/>
      <w:marRight w:val="0"/>
      <w:marTop w:val="0"/>
      <w:marBottom w:val="0"/>
      <w:divBdr>
        <w:top w:val="none" w:sz="0" w:space="0" w:color="auto"/>
        <w:left w:val="none" w:sz="0" w:space="0" w:color="auto"/>
        <w:bottom w:val="none" w:sz="0" w:space="0" w:color="auto"/>
        <w:right w:val="none" w:sz="0" w:space="0" w:color="auto"/>
      </w:divBdr>
    </w:div>
    <w:div w:id="1681544839">
      <w:marLeft w:val="0"/>
      <w:marRight w:val="0"/>
      <w:marTop w:val="0"/>
      <w:marBottom w:val="0"/>
      <w:divBdr>
        <w:top w:val="none" w:sz="0" w:space="0" w:color="auto"/>
        <w:left w:val="none" w:sz="0" w:space="0" w:color="auto"/>
        <w:bottom w:val="none" w:sz="0" w:space="0" w:color="auto"/>
        <w:right w:val="none" w:sz="0" w:space="0" w:color="auto"/>
      </w:divBdr>
    </w:div>
    <w:div w:id="1681544840">
      <w:marLeft w:val="0"/>
      <w:marRight w:val="0"/>
      <w:marTop w:val="0"/>
      <w:marBottom w:val="0"/>
      <w:divBdr>
        <w:top w:val="none" w:sz="0" w:space="0" w:color="auto"/>
        <w:left w:val="none" w:sz="0" w:space="0" w:color="auto"/>
        <w:bottom w:val="none" w:sz="0" w:space="0" w:color="auto"/>
        <w:right w:val="none" w:sz="0" w:space="0" w:color="auto"/>
      </w:divBdr>
    </w:div>
    <w:div w:id="1681544841">
      <w:marLeft w:val="0"/>
      <w:marRight w:val="0"/>
      <w:marTop w:val="0"/>
      <w:marBottom w:val="0"/>
      <w:divBdr>
        <w:top w:val="none" w:sz="0" w:space="0" w:color="auto"/>
        <w:left w:val="none" w:sz="0" w:space="0" w:color="auto"/>
        <w:bottom w:val="none" w:sz="0" w:space="0" w:color="auto"/>
        <w:right w:val="none" w:sz="0" w:space="0" w:color="auto"/>
      </w:divBdr>
    </w:div>
    <w:div w:id="1681544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vd.nist.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aesb.org/member_login_check.asp?doc=weq_2019_api_6bi_rec_attachment.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vlpubs.nist.gov/nistpubs/SpecialPublications/NIST.SP.800-63b.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nvlpubs.nist.gov/nistpubs/FIPS/NIST.FIPS.140-2.pdf" TargetMode="External"/><Relationship Id="rId2" Type="http://schemas.openxmlformats.org/officeDocument/2006/relationships/hyperlink" Target="https://www.owasp.org/images/7/72/OWASP_Top_10-2017_%28en%29.pdf.pdf" TargetMode="External"/><Relationship Id="rId1" Type="http://schemas.openxmlformats.org/officeDocument/2006/relationships/hyperlink" Target="https://csrc.nist.gov/CSRC/media/Publications/sp/800-52/rev-2/draft/documents/sp800-52r2-draft2.pdf" TargetMode="External"/><Relationship Id="rId5" Type="http://schemas.openxmlformats.org/officeDocument/2006/relationships/hyperlink" Target="https://www.sans.org/security-resources/policies/application-security/pdf/web-application-security-policy" TargetMode="External"/><Relationship Id="rId4" Type="http://schemas.openxmlformats.org/officeDocument/2006/relationships/hyperlink" Target="https://csrc.nist.gov/Projects/Cryptographic-Module-Validation-Program/Validated-Modul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subject/>
  <dc:creator>Mike Zoch</dc:creator>
  <cp:keywords/>
  <dc:description/>
  <cp:lastModifiedBy>NAESB</cp:lastModifiedBy>
  <cp:revision>2</cp:revision>
  <cp:lastPrinted>2018-05-29T19:11:00Z</cp:lastPrinted>
  <dcterms:created xsi:type="dcterms:W3CDTF">2019-10-10T18:17:00Z</dcterms:created>
  <dcterms:modified xsi:type="dcterms:W3CDTF">2019-10-10T18:17:00Z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