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5B" w:rsidRPr="00D830DB" w:rsidRDefault="00FC12EE" w:rsidP="007033D3">
      <w:pPr>
        <w:ind w:left="2520" w:hanging="2520"/>
        <w:jc w:val="center"/>
        <w:rPr>
          <w:rFonts w:ascii="Times New Roman" w:hAnsi="Times New Roman"/>
          <w:b/>
          <w:bCs/>
          <w:sz w:val="24"/>
          <w:szCs w:val="24"/>
        </w:rPr>
      </w:pPr>
      <w:r w:rsidRPr="00D830DB">
        <w:rPr>
          <w:rFonts w:ascii="Times New Roman" w:hAnsi="Times New Roman"/>
          <w:b/>
          <w:bCs/>
          <w:sz w:val="24"/>
          <w:szCs w:val="24"/>
        </w:rPr>
        <w:t>F</w:t>
      </w:r>
      <w:r w:rsidR="000E6A42" w:rsidRPr="00D830DB">
        <w:rPr>
          <w:rFonts w:ascii="Times New Roman" w:hAnsi="Times New Roman"/>
          <w:b/>
          <w:bCs/>
          <w:sz w:val="24"/>
          <w:szCs w:val="24"/>
        </w:rPr>
        <w:t xml:space="preserve">ormal Comments </w:t>
      </w:r>
    </w:p>
    <w:p w:rsidR="006B0595" w:rsidRPr="00D830DB" w:rsidRDefault="006B0595" w:rsidP="007033D3">
      <w:pPr>
        <w:ind w:left="2520" w:hanging="2520"/>
        <w:jc w:val="center"/>
        <w:rPr>
          <w:rFonts w:ascii="Times New Roman" w:hAnsi="Times New Roman"/>
          <w:b/>
          <w:bCs/>
          <w:sz w:val="24"/>
          <w:szCs w:val="24"/>
        </w:rPr>
      </w:pPr>
    </w:p>
    <w:p w:rsidR="00284F5B" w:rsidRPr="00D830DB" w:rsidRDefault="00284F5B" w:rsidP="00284F5B">
      <w:pPr>
        <w:ind w:left="2520" w:hanging="2520"/>
        <w:rPr>
          <w:rFonts w:ascii="Times New Roman" w:hAnsi="Times New Roman"/>
          <w:sz w:val="24"/>
          <w:szCs w:val="24"/>
        </w:rPr>
      </w:pPr>
    </w:p>
    <w:p w:rsidR="00284F5B" w:rsidRPr="00D830DB" w:rsidRDefault="00284F5B" w:rsidP="00284F5B">
      <w:pPr>
        <w:spacing w:after="120"/>
        <w:ind w:left="2520" w:hanging="2520"/>
        <w:rPr>
          <w:rFonts w:ascii="Times New Roman" w:hAnsi="Times New Roman"/>
          <w:sz w:val="24"/>
          <w:szCs w:val="24"/>
        </w:rPr>
      </w:pPr>
      <w:r w:rsidRPr="00D830DB">
        <w:rPr>
          <w:rFonts w:ascii="Times New Roman" w:hAnsi="Times New Roman"/>
          <w:b/>
          <w:bCs/>
          <w:sz w:val="24"/>
          <w:szCs w:val="24"/>
        </w:rPr>
        <w:t>Quadrant:</w:t>
      </w:r>
      <w:r w:rsidRPr="00D830DB">
        <w:rPr>
          <w:rFonts w:ascii="Times New Roman" w:hAnsi="Times New Roman"/>
          <w:sz w:val="24"/>
          <w:szCs w:val="24"/>
        </w:rPr>
        <w:tab/>
        <w:t>Wholesale Electric Quadrant</w:t>
      </w:r>
    </w:p>
    <w:p w:rsidR="003B5BA6" w:rsidRPr="00C353F3" w:rsidRDefault="00284F5B" w:rsidP="00EB711A">
      <w:pPr>
        <w:pStyle w:val="PlainText"/>
        <w:tabs>
          <w:tab w:val="left" w:pos="2520"/>
        </w:tabs>
        <w:ind w:left="2520" w:hanging="2520"/>
        <w:rPr>
          <w:rFonts w:ascii="Times New Roman" w:hAnsi="Times New Roman"/>
          <w:sz w:val="24"/>
          <w:szCs w:val="24"/>
        </w:rPr>
      </w:pPr>
      <w:r w:rsidRPr="00C353F3">
        <w:rPr>
          <w:rFonts w:ascii="Times New Roman" w:hAnsi="Times New Roman"/>
          <w:b/>
          <w:bCs/>
          <w:sz w:val="24"/>
          <w:szCs w:val="24"/>
        </w:rPr>
        <w:t>Recommendations:</w:t>
      </w:r>
      <w:r w:rsidRPr="00C353F3">
        <w:rPr>
          <w:rFonts w:ascii="Times New Roman" w:hAnsi="Times New Roman"/>
          <w:sz w:val="24"/>
          <w:szCs w:val="24"/>
        </w:rPr>
        <w:t xml:space="preserve"> </w:t>
      </w:r>
      <w:r w:rsidRPr="00C353F3">
        <w:rPr>
          <w:rFonts w:ascii="Times New Roman" w:hAnsi="Times New Roman"/>
          <w:sz w:val="24"/>
          <w:szCs w:val="24"/>
        </w:rPr>
        <w:tab/>
      </w:r>
      <w:r w:rsidR="003B5BA6" w:rsidRPr="00C353F3">
        <w:rPr>
          <w:rFonts w:ascii="Times New Roman" w:hAnsi="Times New Roman"/>
          <w:sz w:val="24"/>
          <w:szCs w:val="24"/>
        </w:rPr>
        <w:t>201</w:t>
      </w:r>
      <w:r w:rsidR="00122BCE">
        <w:rPr>
          <w:rFonts w:ascii="Times New Roman" w:hAnsi="Times New Roman"/>
          <w:sz w:val="24"/>
          <w:szCs w:val="24"/>
        </w:rPr>
        <w:t>5</w:t>
      </w:r>
      <w:r w:rsidR="003B5BA6" w:rsidRPr="00C353F3">
        <w:rPr>
          <w:rFonts w:ascii="Times New Roman" w:hAnsi="Times New Roman"/>
          <w:sz w:val="24"/>
          <w:szCs w:val="24"/>
        </w:rPr>
        <w:t xml:space="preserve"> WEQ Annual Plan Item </w:t>
      </w:r>
      <w:r w:rsidR="00CE7180">
        <w:rPr>
          <w:rFonts w:ascii="Times New Roman" w:hAnsi="Times New Roman"/>
          <w:sz w:val="24"/>
          <w:szCs w:val="24"/>
        </w:rPr>
        <w:t>2(a</w:t>
      </w:r>
      <w:proofErr w:type="gramStart"/>
      <w:r w:rsidR="00CE7180">
        <w:rPr>
          <w:rFonts w:ascii="Times New Roman" w:hAnsi="Times New Roman"/>
          <w:sz w:val="24"/>
          <w:szCs w:val="24"/>
        </w:rPr>
        <w:t>)(</w:t>
      </w:r>
      <w:proofErr w:type="spellStart"/>
      <w:proofErr w:type="gramEnd"/>
      <w:r w:rsidR="00CE7180">
        <w:rPr>
          <w:rFonts w:ascii="Times New Roman" w:hAnsi="Times New Roman"/>
          <w:sz w:val="24"/>
          <w:szCs w:val="24"/>
        </w:rPr>
        <w:t>i</w:t>
      </w:r>
      <w:proofErr w:type="spellEnd"/>
      <w:r w:rsidR="00CE7180">
        <w:rPr>
          <w:rFonts w:ascii="Times New Roman" w:hAnsi="Times New Roman"/>
          <w:sz w:val="24"/>
          <w:szCs w:val="24"/>
        </w:rPr>
        <w:t>)(2)</w:t>
      </w:r>
      <w:r w:rsidR="00EB711A">
        <w:rPr>
          <w:rFonts w:ascii="Times New Roman" w:hAnsi="Times New Roman"/>
          <w:sz w:val="24"/>
          <w:szCs w:val="24"/>
        </w:rPr>
        <w:t xml:space="preserve"> – </w:t>
      </w:r>
      <w:r w:rsidR="00CE7180">
        <w:rPr>
          <w:rFonts w:ascii="Times New Roman" w:hAnsi="Times New Roman"/>
          <w:sz w:val="24"/>
          <w:szCs w:val="24"/>
        </w:rPr>
        <w:t>Long-Term Firm Rollover Rights Competition</w:t>
      </w:r>
    </w:p>
    <w:p w:rsidR="00284F5B" w:rsidRPr="00CE7180" w:rsidRDefault="00284F5B" w:rsidP="003B5BA6">
      <w:pPr>
        <w:spacing w:before="60" w:after="60"/>
        <w:ind w:left="2520" w:hanging="2520"/>
        <w:rPr>
          <w:rFonts w:ascii="Times New Roman" w:hAnsi="Times New Roman"/>
          <w:bCs/>
          <w:sz w:val="24"/>
          <w:szCs w:val="24"/>
        </w:rPr>
      </w:pPr>
      <w:r w:rsidRPr="00D830DB">
        <w:rPr>
          <w:rFonts w:ascii="Times New Roman" w:hAnsi="Times New Roman"/>
          <w:b/>
          <w:bCs/>
          <w:sz w:val="24"/>
          <w:szCs w:val="24"/>
        </w:rPr>
        <w:t>Submitted By:</w:t>
      </w:r>
      <w:r w:rsidRPr="00D830DB">
        <w:rPr>
          <w:rFonts w:ascii="Times New Roman" w:hAnsi="Times New Roman"/>
          <w:b/>
          <w:bCs/>
          <w:sz w:val="24"/>
          <w:szCs w:val="24"/>
        </w:rPr>
        <w:tab/>
      </w:r>
      <w:r w:rsidR="00162A95" w:rsidRPr="00162A95">
        <w:rPr>
          <w:rFonts w:ascii="Times New Roman" w:hAnsi="Times New Roman"/>
          <w:bCs/>
          <w:sz w:val="24"/>
          <w:szCs w:val="24"/>
        </w:rPr>
        <w:t>IESO,</w:t>
      </w:r>
      <w:r w:rsidR="00162A95">
        <w:rPr>
          <w:rFonts w:ascii="Times New Roman" w:hAnsi="Times New Roman"/>
          <w:b/>
          <w:bCs/>
          <w:sz w:val="24"/>
          <w:szCs w:val="24"/>
        </w:rPr>
        <w:t xml:space="preserve"> </w:t>
      </w:r>
      <w:r w:rsidR="00CE7180">
        <w:rPr>
          <w:rFonts w:ascii="Times New Roman" w:hAnsi="Times New Roman"/>
          <w:bCs/>
          <w:sz w:val="24"/>
          <w:szCs w:val="24"/>
        </w:rPr>
        <w:t>MISO</w:t>
      </w:r>
      <w:r w:rsidR="00162A95">
        <w:rPr>
          <w:rFonts w:ascii="Times New Roman" w:hAnsi="Times New Roman"/>
          <w:bCs/>
          <w:sz w:val="24"/>
          <w:szCs w:val="24"/>
        </w:rPr>
        <w:t>, PJM, SPP</w:t>
      </w:r>
      <w:r w:rsidR="00CE7180">
        <w:rPr>
          <w:rFonts w:ascii="Times New Roman" w:hAnsi="Times New Roman"/>
          <w:bCs/>
          <w:sz w:val="24"/>
          <w:szCs w:val="24"/>
        </w:rPr>
        <w:t xml:space="preserve"> </w:t>
      </w:r>
    </w:p>
    <w:p w:rsidR="00284F5B" w:rsidRPr="00D830DB" w:rsidRDefault="00284F5B" w:rsidP="00284F5B">
      <w:pPr>
        <w:spacing w:after="120"/>
        <w:ind w:left="2520" w:hanging="2520"/>
        <w:rPr>
          <w:rFonts w:ascii="Times New Roman" w:hAnsi="Times New Roman"/>
          <w:sz w:val="24"/>
          <w:szCs w:val="24"/>
        </w:rPr>
      </w:pPr>
      <w:r w:rsidRPr="00D830DB">
        <w:rPr>
          <w:rFonts w:ascii="Times New Roman" w:hAnsi="Times New Roman"/>
          <w:b/>
          <w:bCs/>
          <w:sz w:val="24"/>
          <w:szCs w:val="24"/>
        </w:rPr>
        <w:t>Date:</w:t>
      </w:r>
      <w:r w:rsidR="00FC12EE" w:rsidRPr="00D830DB">
        <w:rPr>
          <w:rFonts w:ascii="Times New Roman" w:hAnsi="Times New Roman"/>
          <w:sz w:val="24"/>
          <w:szCs w:val="24"/>
        </w:rPr>
        <w:tab/>
      </w:r>
      <w:r w:rsidR="00122BCE">
        <w:rPr>
          <w:rFonts w:ascii="Times New Roman" w:hAnsi="Times New Roman"/>
          <w:sz w:val="24"/>
          <w:szCs w:val="24"/>
        </w:rPr>
        <w:t xml:space="preserve">January </w:t>
      </w:r>
      <w:r w:rsidR="00CE7180">
        <w:rPr>
          <w:rFonts w:ascii="Times New Roman" w:hAnsi="Times New Roman"/>
          <w:sz w:val="24"/>
          <w:szCs w:val="24"/>
        </w:rPr>
        <w:t>19</w:t>
      </w:r>
      <w:r w:rsidR="00122BCE">
        <w:rPr>
          <w:rFonts w:ascii="Times New Roman" w:hAnsi="Times New Roman"/>
          <w:sz w:val="24"/>
          <w:szCs w:val="24"/>
        </w:rPr>
        <w:t>, 2016</w:t>
      </w:r>
    </w:p>
    <w:p w:rsidR="00284F5B" w:rsidRPr="00D830DB" w:rsidRDefault="00284F5B" w:rsidP="00284F5B">
      <w:pPr>
        <w:pBdr>
          <w:bottom w:val="single" w:sz="12" w:space="1" w:color="auto"/>
        </w:pBdr>
        <w:spacing w:before="120"/>
        <w:rPr>
          <w:rFonts w:ascii="Times New Roman" w:hAnsi="Times New Roman"/>
          <w:b/>
          <w:sz w:val="24"/>
          <w:szCs w:val="24"/>
        </w:rPr>
      </w:pPr>
    </w:p>
    <w:p w:rsidR="003B5BA6" w:rsidRPr="00D830DB" w:rsidRDefault="003B5BA6" w:rsidP="003B5BA6">
      <w:pPr>
        <w:autoSpaceDE w:val="0"/>
        <w:autoSpaceDN w:val="0"/>
        <w:adjustRightInd w:val="0"/>
        <w:ind w:left="720"/>
        <w:rPr>
          <w:rFonts w:ascii="Times New Roman" w:hAnsi="Times New Roman"/>
          <w:sz w:val="24"/>
          <w:szCs w:val="24"/>
        </w:rPr>
      </w:pPr>
    </w:p>
    <w:p w:rsidR="003B5BA6" w:rsidRPr="00CE7180" w:rsidRDefault="00CE7180" w:rsidP="003B5BA6">
      <w:pPr>
        <w:autoSpaceDE w:val="0"/>
        <w:autoSpaceDN w:val="0"/>
        <w:adjustRightInd w:val="0"/>
        <w:rPr>
          <w:rFonts w:ascii="Times New Roman" w:hAnsi="Times New Roman"/>
          <w:sz w:val="24"/>
          <w:szCs w:val="24"/>
        </w:rPr>
      </w:pPr>
      <w:r w:rsidRPr="00CE7180">
        <w:rPr>
          <w:rFonts w:ascii="Times New Roman" w:hAnsi="Times New Roman"/>
          <w:sz w:val="24"/>
          <w:szCs w:val="24"/>
        </w:rPr>
        <w:t>The ISOs/RTOs request that the following comments be considered prior to the Wholesale Electric Quadrant’s Executive Committee approving the Long-Term Firm Rollover Rights Competition Recommendation.</w:t>
      </w:r>
    </w:p>
    <w:p w:rsidR="00802903" w:rsidRPr="00CE7180" w:rsidRDefault="00802903">
      <w:pPr>
        <w:rPr>
          <w:rFonts w:cs="Arial"/>
          <w:sz w:val="24"/>
          <w:szCs w:val="24"/>
        </w:rPr>
      </w:pPr>
    </w:p>
    <w:p w:rsidR="00CE7180" w:rsidRDefault="00CE7180" w:rsidP="00CE7180">
      <w:pPr>
        <w:pStyle w:val="ListParagraph"/>
        <w:numPr>
          <w:ilvl w:val="0"/>
          <w:numId w:val="26"/>
        </w:numPr>
        <w:rPr>
          <w:rFonts w:ascii="Times New Roman" w:hAnsi="Times New Roman"/>
          <w:sz w:val="24"/>
          <w:szCs w:val="24"/>
        </w:rPr>
      </w:pPr>
      <w:commentRangeStart w:id="0"/>
      <w:r>
        <w:rPr>
          <w:rFonts w:ascii="Times New Roman" w:hAnsi="Times New Roman"/>
          <w:sz w:val="24"/>
          <w:szCs w:val="24"/>
        </w:rPr>
        <w:t>We</w:t>
      </w:r>
      <w:commentRangeEnd w:id="0"/>
      <w:r w:rsidR="00D561FF">
        <w:rPr>
          <w:rStyle w:val="CommentReference"/>
        </w:rPr>
        <w:commentReference w:id="0"/>
      </w:r>
      <w:r>
        <w:rPr>
          <w:rFonts w:ascii="Times New Roman" w:hAnsi="Times New Roman"/>
          <w:sz w:val="24"/>
          <w:szCs w:val="24"/>
        </w:rPr>
        <w:t xml:space="preserve"> appreciate the </w:t>
      </w:r>
      <w:r w:rsidR="00E706E7">
        <w:rPr>
          <w:rFonts w:ascii="Times New Roman" w:hAnsi="Times New Roman"/>
          <w:sz w:val="24"/>
          <w:szCs w:val="24"/>
        </w:rPr>
        <w:t>OASIS Subcommittee</w:t>
      </w:r>
      <w:r>
        <w:rPr>
          <w:rFonts w:ascii="Times New Roman" w:hAnsi="Times New Roman"/>
          <w:sz w:val="24"/>
          <w:szCs w:val="24"/>
        </w:rPr>
        <w:t xml:space="preserve"> creating a definition for Eligible Rollover Capacity when documenting the requirements for Long-Term Firm Rollover Rights for Point-to-Point competition.  </w:t>
      </w:r>
      <w:r w:rsidR="00E706E7">
        <w:rPr>
          <w:rFonts w:ascii="Times New Roman" w:hAnsi="Times New Roman"/>
          <w:sz w:val="24"/>
          <w:szCs w:val="24"/>
        </w:rPr>
        <w:t>Similarly, we believe a term should be defined for Designated Network Resource competition.  The standards use the phrase “encumbered transmission capability,” which is not a defined term.  We recommend that encumbered transmission capability be a defined term.</w:t>
      </w:r>
    </w:p>
    <w:p w:rsidR="00E706E7" w:rsidRDefault="00E706E7" w:rsidP="00CE7180">
      <w:pPr>
        <w:pStyle w:val="ListParagraph"/>
        <w:numPr>
          <w:ilvl w:val="0"/>
          <w:numId w:val="26"/>
        </w:numPr>
        <w:rPr>
          <w:rFonts w:ascii="Times New Roman" w:hAnsi="Times New Roman"/>
          <w:sz w:val="24"/>
          <w:szCs w:val="24"/>
        </w:rPr>
      </w:pPr>
      <w:r>
        <w:rPr>
          <w:rFonts w:ascii="Times New Roman" w:hAnsi="Times New Roman"/>
          <w:sz w:val="24"/>
          <w:szCs w:val="24"/>
        </w:rPr>
        <w:t>The subcommittee has defined the term Rollover Exercising Customer.  It is clearly document</w:t>
      </w:r>
      <w:r w:rsidR="00A81C31">
        <w:rPr>
          <w:rFonts w:ascii="Times New Roman" w:hAnsi="Times New Roman"/>
          <w:sz w:val="24"/>
          <w:szCs w:val="24"/>
        </w:rPr>
        <w:t>ed</w:t>
      </w:r>
      <w:r>
        <w:rPr>
          <w:rFonts w:ascii="Times New Roman" w:hAnsi="Times New Roman"/>
          <w:sz w:val="24"/>
          <w:szCs w:val="24"/>
        </w:rPr>
        <w:t xml:space="preserve"> in WEQ-001 who the Rollover Exercising Customer</w:t>
      </w:r>
      <w:r w:rsidR="00A81C31">
        <w:rPr>
          <w:rFonts w:ascii="Times New Roman" w:hAnsi="Times New Roman"/>
          <w:sz w:val="24"/>
          <w:szCs w:val="24"/>
        </w:rPr>
        <w:t xml:space="preserve"> is.  </w:t>
      </w:r>
      <w:r>
        <w:rPr>
          <w:rFonts w:ascii="Times New Roman" w:hAnsi="Times New Roman"/>
          <w:sz w:val="24"/>
          <w:szCs w:val="24"/>
        </w:rPr>
        <w:t>We request a review of WEQ-002, WEQ-003, and WEQ-</w:t>
      </w:r>
      <w:r w:rsidR="0084559D">
        <w:rPr>
          <w:rFonts w:ascii="Times New Roman" w:hAnsi="Times New Roman"/>
          <w:sz w:val="24"/>
          <w:szCs w:val="24"/>
        </w:rPr>
        <w:t xml:space="preserve">to determine </w:t>
      </w:r>
      <w:r>
        <w:rPr>
          <w:rFonts w:ascii="Times New Roman" w:hAnsi="Times New Roman"/>
          <w:sz w:val="24"/>
          <w:szCs w:val="24"/>
        </w:rPr>
        <w:t>if specific references to customer and Transmission Customer be changed to Rollover Exercising Customer.  The sections to review include:</w:t>
      </w:r>
    </w:p>
    <w:p w:rsidR="00E706E7" w:rsidRDefault="00965A99" w:rsidP="00E706E7">
      <w:pPr>
        <w:pStyle w:val="ListParagraph"/>
        <w:numPr>
          <w:ilvl w:val="1"/>
          <w:numId w:val="26"/>
        </w:numPr>
        <w:rPr>
          <w:rFonts w:ascii="Times New Roman" w:hAnsi="Times New Roman"/>
          <w:sz w:val="24"/>
          <w:szCs w:val="24"/>
        </w:rPr>
      </w:pPr>
      <w:commentRangeStart w:id="1"/>
      <w:r>
        <w:rPr>
          <w:rFonts w:ascii="Times New Roman" w:hAnsi="Times New Roman"/>
          <w:sz w:val="24"/>
          <w:szCs w:val="24"/>
        </w:rPr>
        <w:t>Section</w:t>
      </w:r>
      <w:commentRangeEnd w:id="1"/>
      <w:r w:rsidR="00FB2227">
        <w:rPr>
          <w:rStyle w:val="CommentReference"/>
        </w:rPr>
        <w:commentReference w:id="1"/>
      </w:r>
      <w:r>
        <w:rPr>
          <w:rFonts w:ascii="Times New Roman" w:hAnsi="Times New Roman"/>
          <w:sz w:val="24"/>
          <w:szCs w:val="24"/>
        </w:rPr>
        <w:t xml:space="preserve"> 002-101-3.3.1</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 xml:space="preserve">The new paragraph added references “customer” </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The Usage column for RENEWAL_DUE_TIME references Transmission Customer</w:t>
      </w:r>
    </w:p>
    <w:p w:rsidR="00965A99" w:rsidRDefault="00965A99" w:rsidP="00965A99">
      <w:pPr>
        <w:pStyle w:val="ListParagraph"/>
        <w:numPr>
          <w:ilvl w:val="1"/>
          <w:numId w:val="26"/>
        </w:numPr>
        <w:rPr>
          <w:rFonts w:ascii="Times New Roman" w:hAnsi="Times New Roman"/>
          <w:sz w:val="24"/>
          <w:szCs w:val="24"/>
        </w:rPr>
      </w:pPr>
      <w:commentRangeStart w:id="2"/>
      <w:r>
        <w:rPr>
          <w:rFonts w:ascii="Times New Roman" w:hAnsi="Times New Roman"/>
          <w:sz w:val="24"/>
          <w:szCs w:val="24"/>
        </w:rPr>
        <w:t>Section</w:t>
      </w:r>
      <w:commentRangeEnd w:id="2"/>
      <w:r w:rsidR="00FB2227">
        <w:rPr>
          <w:rStyle w:val="CommentReference"/>
        </w:rPr>
        <w:commentReference w:id="2"/>
      </w:r>
      <w:r>
        <w:rPr>
          <w:rFonts w:ascii="Times New Roman" w:hAnsi="Times New Roman"/>
          <w:sz w:val="24"/>
          <w:szCs w:val="24"/>
        </w:rPr>
        <w:t xml:space="preserve"> 002-101-3.3.10</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 xml:space="preserve">The new paragraph added references “customer” </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The Usage column for RENEWAL_DUE_TIME references Transmission Customer</w:t>
      </w:r>
    </w:p>
    <w:p w:rsidR="00965A99" w:rsidRDefault="00965A99" w:rsidP="00965A99">
      <w:pPr>
        <w:pStyle w:val="ListParagraph"/>
        <w:numPr>
          <w:ilvl w:val="1"/>
          <w:numId w:val="26"/>
        </w:numPr>
        <w:rPr>
          <w:rFonts w:ascii="Times New Roman" w:hAnsi="Times New Roman"/>
          <w:sz w:val="24"/>
          <w:szCs w:val="24"/>
        </w:rPr>
      </w:pPr>
      <w:commentRangeStart w:id="3"/>
      <w:r>
        <w:rPr>
          <w:rFonts w:ascii="Times New Roman" w:hAnsi="Times New Roman"/>
          <w:sz w:val="24"/>
          <w:szCs w:val="24"/>
        </w:rPr>
        <w:t>Section</w:t>
      </w:r>
      <w:commentRangeEnd w:id="3"/>
      <w:r w:rsidR="00FB2227">
        <w:rPr>
          <w:rStyle w:val="CommentReference"/>
        </w:rPr>
        <w:commentReference w:id="3"/>
      </w:r>
      <w:r>
        <w:rPr>
          <w:rFonts w:ascii="Times New Roman" w:hAnsi="Times New Roman"/>
          <w:sz w:val="24"/>
          <w:szCs w:val="24"/>
        </w:rPr>
        <w:t xml:space="preserve"> 003-0</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Definition of Data Element for RENEWAL_DUE_TIME references Transmission Customer</w:t>
      </w:r>
    </w:p>
    <w:p w:rsidR="00965A99" w:rsidRDefault="00965A99" w:rsidP="00965A99">
      <w:pPr>
        <w:pStyle w:val="ListParagraph"/>
        <w:numPr>
          <w:ilvl w:val="1"/>
          <w:numId w:val="26"/>
        </w:numPr>
        <w:rPr>
          <w:rFonts w:ascii="Times New Roman" w:hAnsi="Times New Roman"/>
          <w:sz w:val="24"/>
          <w:szCs w:val="24"/>
        </w:rPr>
      </w:pPr>
      <w:commentRangeStart w:id="4"/>
      <w:r>
        <w:rPr>
          <w:rFonts w:ascii="Times New Roman" w:hAnsi="Times New Roman"/>
          <w:sz w:val="24"/>
          <w:szCs w:val="24"/>
        </w:rPr>
        <w:t>Section</w:t>
      </w:r>
      <w:commentRangeEnd w:id="4"/>
      <w:r w:rsidR="00FB2227">
        <w:rPr>
          <w:rStyle w:val="CommentReference"/>
        </w:rPr>
        <w:commentReference w:id="4"/>
      </w:r>
      <w:r>
        <w:rPr>
          <w:rFonts w:ascii="Times New Roman" w:hAnsi="Times New Roman"/>
          <w:sz w:val="24"/>
          <w:szCs w:val="24"/>
        </w:rPr>
        <w:t xml:space="preserve"> 013-106</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 xml:space="preserve">The new paragraph added references “customer” </w:t>
      </w:r>
    </w:p>
    <w:p w:rsidR="00C4460C" w:rsidRDefault="00965A99" w:rsidP="00965A99">
      <w:pPr>
        <w:pStyle w:val="ListParagraph"/>
        <w:numPr>
          <w:ilvl w:val="0"/>
          <w:numId w:val="26"/>
        </w:numPr>
        <w:rPr>
          <w:rFonts w:ascii="Times New Roman" w:hAnsi="Times New Roman"/>
          <w:sz w:val="24"/>
          <w:szCs w:val="24"/>
        </w:rPr>
      </w:pPr>
      <w:r>
        <w:rPr>
          <w:rFonts w:ascii="Times New Roman" w:hAnsi="Times New Roman"/>
          <w:sz w:val="24"/>
          <w:szCs w:val="24"/>
        </w:rPr>
        <w:t>We recommend that formatting inconsistencies be addressed.  For example</w:t>
      </w:r>
      <w:r w:rsidR="00C4460C">
        <w:rPr>
          <w:rFonts w:ascii="Times New Roman" w:hAnsi="Times New Roman"/>
          <w:sz w:val="24"/>
          <w:szCs w:val="24"/>
        </w:rPr>
        <w:t>:</w:t>
      </w:r>
    </w:p>
    <w:p w:rsidR="00965A99" w:rsidRDefault="00C4460C" w:rsidP="00C4460C">
      <w:pPr>
        <w:pStyle w:val="ListParagraph"/>
        <w:numPr>
          <w:ilvl w:val="1"/>
          <w:numId w:val="26"/>
        </w:numPr>
        <w:rPr>
          <w:rFonts w:ascii="Times New Roman" w:hAnsi="Times New Roman"/>
          <w:sz w:val="24"/>
          <w:szCs w:val="24"/>
        </w:rPr>
      </w:pPr>
      <w:commentRangeStart w:id="5"/>
      <w:r>
        <w:rPr>
          <w:rFonts w:ascii="Times New Roman" w:hAnsi="Times New Roman"/>
          <w:sz w:val="24"/>
          <w:szCs w:val="24"/>
        </w:rPr>
        <w:t>S</w:t>
      </w:r>
      <w:r w:rsidR="00965A99">
        <w:rPr>
          <w:rFonts w:ascii="Times New Roman" w:hAnsi="Times New Roman"/>
          <w:sz w:val="24"/>
          <w:szCs w:val="24"/>
        </w:rPr>
        <w:t>ections</w:t>
      </w:r>
      <w:commentRangeEnd w:id="5"/>
      <w:r w:rsidR="00FB2227">
        <w:rPr>
          <w:rStyle w:val="CommentReference"/>
        </w:rPr>
        <w:commentReference w:id="5"/>
      </w:r>
      <w:r w:rsidR="00965A99">
        <w:rPr>
          <w:rFonts w:ascii="Times New Roman" w:hAnsi="Times New Roman"/>
          <w:sz w:val="24"/>
          <w:szCs w:val="24"/>
        </w:rPr>
        <w:t xml:space="preserve"> xx001-20.8.3.1 and xx001-20.8.3.2 contain</w:t>
      </w:r>
      <w:r>
        <w:rPr>
          <w:rFonts w:ascii="Times New Roman" w:hAnsi="Times New Roman"/>
          <w:sz w:val="24"/>
          <w:szCs w:val="24"/>
        </w:rPr>
        <w:t xml:space="preserve"> both 10 point and 11 point fonts</w:t>
      </w:r>
    </w:p>
    <w:p w:rsidR="00C4460C" w:rsidRDefault="00C4460C" w:rsidP="00C4460C">
      <w:pPr>
        <w:pStyle w:val="ListParagraph"/>
        <w:numPr>
          <w:ilvl w:val="1"/>
          <w:numId w:val="26"/>
        </w:numPr>
        <w:rPr>
          <w:rFonts w:ascii="Times New Roman" w:hAnsi="Times New Roman"/>
          <w:sz w:val="24"/>
          <w:szCs w:val="24"/>
        </w:rPr>
      </w:pPr>
      <w:commentRangeStart w:id="6"/>
      <w:r>
        <w:rPr>
          <w:rFonts w:ascii="Times New Roman" w:hAnsi="Times New Roman"/>
          <w:sz w:val="24"/>
          <w:szCs w:val="24"/>
        </w:rPr>
        <w:t>Sections</w:t>
      </w:r>
      <w:commentRangeEnd w:id="6"/>
      <w:r w:rsidR="00FB2227">
        <w:rPr>
          <w:rStyle w:val="CommentReference"/>
        </w:rPr>
        <w:commentReference w:id="6"/>
      </w:r>
      <w:r>
        <w:rPr>
          <w:rFonts w:ascii="Times New Roman" w:hAnsi="Times New Roman"/>
          <w:sz w:val="24"/>
          <w:szCs w:val="24"/>
        </w:rPr>
        <w:t xml:space="preserve"> xx001-20.6.3 and xx001-20.6.4 are not blocked </w:t>
      </w:r>
      <w:r w:rsidR="00A81C31">
        <w:rPr>
          <w:rFonts w:ascii="Times New Roman" w:hAnsi="Times New Roman"/>
          <w:sz w:val="24"/>
          <w:szCs w:val="24"/>
        </w:rPr>
        <w:t xml:space="preserve">similar to </w:t>
      </w:r>
      <w:r>
        <w:rPr>
          <w:rFonts w:ascii="Times New Roman" w:hAnsi="Times New Roman"/>
          <w:sz w:val="24"/>
          <w:szCs w:val="24"/>
        </w:rPr>
        <w:t>other requirements; starting with line 2, the text is indented, which is inconsistent standard formatting.</w:t>
      </w:r>
    </w:p>
    <w:p w:rsidR="00610143" w:rsidRDefault="00B3233C" w:rsidP="00162A95">
      <w:pPr>
        <w:pStyle w:val="ListParagraph"/>
        <w:numPr>
          <w:ilvl w:val="0"/>
          <w:numId w:val="26"/>
        </w:numPr>
        <w:rPr>
          <w:rFonts w:ascii="Times New Roman" w:hAnsi="Times New Roman"/>
          <w:sz w:val="24"/>
          <w:szCs w:val="24"/>
        </w:rPr>
      </w:pPr>
      <w:commentRangeStart w:id="7"/>
      <w:r>
        <w:rPr>
          <w:rFonts w:ascii="Times New Roman" w:hAnsi="Times New Roman"/>
          <w:sz w:val="24"/>
          <w:szCs w:val="24"/>
        </w:rPr>
        <w:lastRenderedPageBreak/>
        <w:t>Many</w:t>
      </w:r>
      <w:commentRangeEnd w:id="7"/>
      <w:r w:rsidR="006E079E">
        <w:rPr>
          <w:rStyle w:val="CommentReference"/>
        </w:rPr>
        <w:commentReference w:id="7"/>
      </w:r>
      <w:r>
        <w:rPr>
          <w:rFonts w:ascii="Times New Roman" w:hAnsi="Times New Roman"/>
          <w:sz w:val="24"/>
          <w:szCs w:val="24"/>
        </w:rPr>
        <w:t xml:space="preserve"> Transmission Providers have a deadline for customers to enter long term requests for study. There are also many processes that were developed to ensure the set of data studied was representative of the expected transmission utilization. Due to the new long term competition proposals in this standard, we recommend adding language that allows for a Transmission Provider to require a deadline by which all renewals, extensions, and competitions must be completed.  This language would ensure that the myriad of study process in place across the nation are not damaged. Of particular concern is that a DNR </w:t>
      </w:r>
      <w:r w:rsidR="00E50679">
        <w:rPr>
          <w:rFonts w:ascii="Times New Roman" w:hAnsi="Times New Roman"/>
          <w:sz w:val="24"/>
          <w:szCs w:val="24"/>
        </w:rPr>
        <w:t>renewal</w:t>
      </w:r>
      <w:r>
        <w:rPr>
          <w:rFonts w:ascii="Times New Roman" w:hAnsi="Times New Roman"/>
          <w:sz w:val="24"/>
          <w:szCs w:val="24"/>
        </w:rPr>
        <w:t xml:space="preserve"> </w:t>
      </w:r>
      <w:r w:rsidR="00E50679">
        <w:rPr>
          <w:rFonts w:ascii="Times New Roman" w:hAnsi="Times New Roman"/>
          <w:sz w:val="24"/>
          <w:szCs w:val="24"/>
        </w:rPr>
        <w:t>(or PTP vs a PTP, etc.) i</w:t>
      </w:r>
      <w:r>
        <w:rPr>
          <w:rFonts w:ascii="Times New Roman" w:hAnsi="Times New Roman"/>
          <w:sz w:val="24"/>
          <w:szCs w:val="24"/>
        </w:rPr>
        <w:t xml:space="preserve">nitiates a competition within the NAESB timeline, however the competition results in a long term PTP request being withdrawn from a study due to its successful competition for those DNR rights.  The standards </w:t>
      </w:r>
      <w:r w:rsidR="00162A95">
        <w:rPr>
          <w:rFonts w:ascii="Times New Roman" w:hAnsi="Times New Roman"/>
          <w:sz w:val="24"/>
          <w:szCs w:val="24"/>
        </w:rPr>
        <w:t>d</w:t>
      </w:r>
      <w:r>
        <w:rPr>
          <w:rFonts w:ascii="Times New Roman" w:hAnsi="Times New Roman"/>
          <w:sz w:val="24"/>
          <w:szCs w:val="24"/>
        </w:rPr>
        <w:t>o not appear to allow a Transmission Provider to ensure the completion of the competition before its study processes are started.</w:t>
      </w:r>
    </w:p>
    <w:p w:rsidR="00610143" w:rsidRDefault="00B3233C">
      <w:pPr>
        <w:pStyle w:val="ListParagraph"/>
        <w:numPr>
          <w:ilvl w:val="1"/>
          <w:numId w:val="26"/>
        </w:numPr>
        <w:rPr>
          <w:rFonts w:ascii="Times New Roman" w:hAnsi="Times New Roman"/>
          <w:sz w:val="24"/>
          <w:szCs w:val="24"/>
        </w:rPr>
      </w:pPr>
      <w:r>
        <w:rPr>
          <w:rFonts w:ascii="Times New Roman" w:hAnsi="Times New Roman"/>
          <w:sz w:val="24"/>
          <w:szCs w:val="24"/>
        </w:rPr>
        <w:t xml:space="preserve">The language proposed would be a requirement for both PTP and DNR requests, and could be placed as xx1-20.10.10: The Transmission Provider may specify in its business practices that the competition timeline in xx001-xx </w:t>
      </w:r>
      <w:proofErr w:type="spellStart"/>
      <w:r>
        <w:rPr>
          <w:rFonts w:ascii="Times New Roman" w:hAnsi="Times New Roman"/>
          <w:sz w:val="24"/>
          <w:szCs w:val="24"/>
        </w:rPr>
        <w:t>Apendix</w:t>
      </w:r>
      <w:proofErr w:type="spellEnd"/>
      <w:r>
        <w:rPr>
          <w:rFonts w:ascii="Times New Roman" w:hAnsi="Times New Roman"/>
          <w:sz w:val="24"/>
          <w:szCs w:val="24"/>
        </w:rPr>
        <w:t xml:space="preserve"> –xx must be completed by a set point ahead of the initiation of its study processes. If the Transmission Provider does not post this required completion time in its business practice then the timeline in section XX will be used for competition.</w:t>
      </w:r>
    </w:p>
    <w:p w:rsidR="00CE3277" w:rsidRDefault="00CE3277">
      <w:pPr>
        <w:rPr>
          <w:rFonts w:ascii="Times New Roman" w:hAnsi="Times New Roman"/>
          <w:sz w:val="24"/>
          <w:szCs w:val="24"/>
        </w:rPr>
      </w:pPr>
    </w:p>
    <w:p w:rsidR="00610143" w:rsidRDefault="00610143" w:rsidP="00162A95">
      <w:pPr>
        <w:ind w:left="360"/>
        <w:rPr>
          <w:rFonts w:ascii="Times New Roman" w:hAnsi="Times New Roman"/>
          <w:sz w:val="24"/>
          <w:szCs w:val="24"/>
        </w:rPr>
      </w:pPr>
    </w:p>
    <w:p w:rsidR="00CE3277" w:rsidRPr="006B0595" w:rsidRDefault="00CE3277">
      <w:pPr>
        <w:rPr>
          <w:rFonts w:cs="Arial"/>
          <w:sz w:val="24"/>
          <w:szCs w:val="24"/>
        </w:rPr>
      </w:pPr>
    </w:p>
    <w:sectPr w:rsidR="00CE3277" w:rsidRPr="006B0595" w:rsidSect="00802903">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od, James T." w:date="2016-02-04T13:35:00Z" w:initials="JTW">
    <w:p w:rsidR="006E079E" w:rsidRDefault="006E079E">
      <w:pPr>
        <w:pStyle w:val="CommentText"/>
      </w:pPr>
      <w:r>
        <w:rPr>
          <w:rStyle w:val="CommentReference"/>
        </w:rPr>
        <w:annotationRef/>
      </w:r>
      <w:r>
        <w:t>IESO, MISO, PJM, SPP</w:t>
      </w:r>
    </w:p>
    <w:p w:rsidR="006E079E" w:rsidRDefault="006E079E">
      <w:pPr>
        <w:pStyle w:val="CommentText"/>
      </w:pPr>
    </w:p>
    <w:p w:rsidR="006E079E" w:rsidRDefault="006E079E">
      <w:pPr>
        <w:pStyle w:val="CommentText"/>
      </w:pPr>
      <w:r>
        <w:t>1/26/16 OASIS Response –</w:t>
      </w:r>
      <w:r w:rsidR="00F16C77" w:rsidRPr="00F16C77">
        <w:t xml:space="preserve"> </w:t>
      </w:r>
      <w:r w:rsidR="00F16C77">
        <w:t>Subcommittee made the decision not to define the term and decided to drop the term “encumbered”.</w:t>
      </w:r>
    </w:p>
  </w:comment>
  <w:comment w:id="1" w:author="Wood, James T." w:date="2016-02-05T10:06:00Z" w:initials="JTW">
    <w:p w:rsidR="00FB2227" w:rsidRDefault="00FB2227" w:rsidP="00FB2227">
      <w:pPr>
        <w:pStyle w:val="CommentText"/>
      </w:pPr>
      <w:r>
        <w:rPr>
          <w:rStyle w:val="CommentReference"/>
        </w:rPr>
        <w:annotationRef/>
      </w:r>
      <w:r>
        <w:t>IESO, MISO, PJM, SPP</w:t>
      </w:r>
    </w:p>
    <w:p w:rsidR="00FB2227" w:rsidRDefault="00FB2227" w:rsidP="00FB2227">
      <w:pPr>
        <w:pStyle w:val="CommentText"/>
      </w:pPr>
    </w:p>
    <w:p w:rsidR="00FB2227" w:rsidRDefault="00FB2227" w:rsidP="00FB2227">
      <w:pPr>
        <w:pStyle w:val="CommentText"/>
      </w:pPr>
      <w:r>
        <w:t>1/26/16 OASIS Response –</w:t>
      </w:r>
      <w:r w:rsidR="00942C4B">
        <w:t xml:space="preserve"> accepted</w:t>
      </w:r>
    </w:p>
  </w:comment>
  <w:comment w:id="2" w:author="Wood, James T." w:date="2016-02-05T10:07:00Z" w:initials="JTW">
    <w:p w:rsidR="00FB2227" w:rsidRDefault="00FB2227" w:rsidP="00FB2227">
      <w:pPr>
        <w:pStyle w:val="CommentText"/>
      </w:pPr>
      <w:r>
        <w:rPr>
          <w:rStyle w:val="CommentReference"/>
        </w:rPr>
        <w:annotationRef/>
      </w:r>
      <w:r>
        <w:t>IESO, MISO, PJM, SPP</w:t>
      </w:r>
    </w:p>
    <w:p w:rsidR="00FB2227" w:rsidRDefault="00FB2227" w:rsidP="00FB2227">
      <w:pPr>
        <w:pStyle w:val="CommentText"/>
      </w:pPr>
    </w:p>
    <w:p w:rsidR="00FB2227" w:rsidRDefault="00FB2227" w:rsidP="00FB2227">
      <w:pPr>
        <w:pStyle w:val="CommentText"/>
      </w:pPr>
      <w:r>
        <w:t>1/26/16 OASIS Response –</w:t>
      </w:r>
      <w:r w:rsidR="00942C4B">
        <w:t xml:space="preserve"> not accepted</w:t>
      </w:r>
    </w:p>
  </w:comment>
  <w:comment w:id="3" w:author="Wood, James T." w:date="2016-02-05T10:08:00Z" w:initials="JTW">
    <w:p w:rsidR="00FB2227" w:rsidRDefault="00FB2227" w:rsidP="00FB2227">
      <w:pPr>
        <w:pStyle w:val="CommentText"/>
      </w:pPr>
      <w:r>
        <w:rPr>
          <w:rStyle w:val="CommentReference"/>
        </w:rPr>
        <w:annotationRef/>
      </w:r>
      <w:r>
        <w:t>IESO, MISO, PJM, SPP</w:t>
      </w:r>
    </w:p>
    <w:p w:rsidR="00FB2227" w:rsidRDefault="00FB2227" w:rsidP="00FB2227">
      <w:pPr>
        <w:pStyle w:val="CommentText"/>
      </w:pPr>
    </w:p>
    <w:p w:rsidR="00FB2227" w:rsidRDefault="00FB2227" w:rsidP="00FB2227">
      <w:pPr>
        <w:pStyle w:val="CommentText"/>
      </w:pPr>
      <w:r>
        <w:t>1/26/16 OASIS Response –</w:t>
      </w:r>
      <w:r w:rsidR="00942C4B">
        <w:t xml:space="preserve"> not accepted</w:t>
      </w:r>
    </w:p>
  </w:comment>
  <w:comment w:id="4" w:author="Wood, James T." w:date="2016-02-05T10:08:00Z" w:initials="JTW">
    <w:p w:rsidR="00FB2227" w:rsidRDefault="00FB2227" w:rsidP="00FB2227">
      <w:pPr>
        <w:pStyle w:val="CommentText"/>
      </w:pPr>
      <w:r>
        <w:rPr>
          <w:rStyle w:val="CommentReference"/>
        </w:rPr>
        <w:annotationRef/>
      </w:r>
      <w:r>
        <w:t>IESO, MISO, PJM, SPP</w:t>
      </w:r>
    </w:p>
    <w:p w:rsidR="00FB2227" w:rsidRDefault="00FB2227" w:rsidP="00FB2227">
      <w:pPr>
        <w:pStyle w:val="CommentText"/>
      </w:pPr>
    </w:p>
    <w:p w:rsidR="00FB2227" w:rsidRDefault="00FB2227" w:rsidP="00FB2227">
      <w:pPr>
        <w:pStyle w:val="CommentText"/>
      </w:pPr>
      <w:r>
        <w:t>1/26/16 OASIS Response –</w:t>
      </w:r>
      <w:r w:rsidR="00942C4B">
        <w:t xml:space="preserve"> not accepted</w:t>
      </w:r>
    </w:p>
  </w:comment>
  <w:comment w:id="5" w:author="Wood, James T." w:date="2016-02-05T10:03:00Z" w:initials="JTW">
    <w:p w:rsidR="00FB2227" w:rsidRDefault="00FB2227" w:rsidP="00FB2227">
      <w:pPr>
        <w:pStyle w:val="CommentText"/>
      </w:pPr>
      <w:r>
        <w:rPr>
          <w:rStyle w:val="CommentReference"/>
        </w:rPr>
        <w:annotationRef/>
      </w:r>
      <w:r>
        <w:t>IESO, MISO, PJM, SPP</w:t>
      </w:r>
    </w:p>
    <w:p w:rsidR="00FB2227" w:rsidRDefault="00FB2227" w:rsidP="00FB2227">
      <w:pPr>
        <w:pStyle w:val="CommentText"/>
      </w:pPr>
    </w:p>
    <w:p w:rsidR="00FB2227" w:rsidRDefault="00FB2227" w:rsidP="00FB2227">
      <w:pPr>
        <w:pStyle w:val="CommentText"/>
      </w:pPr>
      <w:r>
        <w:t>1/26/16 OASIS Response –</w:t>
      </w:r>
      <w:r w:rsidR="00942C4B">
        <w:t xml:space="preserve"> accepted</w:t>
      </w:r>
    </w:p>
  </w:comment>
  <w:comment w:id="6" w:author="Wood, James T." w:date="2016-02-05T10:03:00Z" w:initials="JTW">
    <w:p w:rsidR="00FB2227" w:rsidRDefault="00FB2227" w:rsidP="00FB2227">
      <w:pPr>
        <w:pStyle w:val="CommentText"/>
      </w:pPr>
      <w:r>
        <w:rPr>
          <w:rStyle w:val="CommentReference"/>
        </w:rPr>
        <w:annotationRef/>
      </w:r>
      <w:r>
        <w:t>IESO, MISO, PJM, SPP</w:t>
      </w:r>
    </w:p>
    <w:p w:rsidR="00FB2227" w:rsidRDefault="00FB2227" w:rsidP="00FB2227">
      <w:pPr>
        <w:pStyle w:val="CommentText"/>
      </w:pPr>
    </w:p>
    <w:p w:rsidR="00FB2227" w:rsidRDefault="00FB2227" w:rsidP="00FB2227">
      <w:pPr>
        <w:pStyle w:val="CommentText"/>
      </w:pPr>
      <w:r>
        <w:t>1/26/16 OASIS Response –</w:t>
      </w:r>
      <w:r w:rsidR="00942C4B">
        <w:t xml:space="preserve"> accepted</w:t>
      </w:r>
    </w:p>
  </w:comment>
  <w:comment w:id="7" w:author="Wood, James T." w:date="2016-02-04T14:24:00Z" w:initials="JTW">
    <w:p w:rsidR="006E079E" w:rsidRDefault="006E079E" w:rsidP="006E079E">
      <w:pPr>
        <w:pStyle w:val="CommentText"/>
      </w:pPr>
      <w:r>
        <w:rPr>
          <w:rStyle w:val="CommentReference"/>
        </w:rPr>
        <w:annotationRef/>
      </w:r>
      <w:r>
        <w:t>IESO, MISO, PJM, SPP</w:t>
      </w:r>
    </w:p>
    <w:p w:rsidR="006E079E" w:rsidRDefault="006E079E" w:rsidP="006E079E">
      <w:pPr>
        <w:pStyle w:val="CommentText"/>
      </w:pPr>
    </w:p>
    <w:p w:rsidR="006E079E" w:rsidRDefault="006E079E" w:rsidP="006E079E">
      <w:pPr>
        <w:pStyle w:val="CommentText"/>
      </w:pPr>
      <w:r>
        <w:t>1/26/16 OASIS Response –</w:t>
      </w:r>
      <w:r w:rsidR="006548C1" w:rsidRPr="006548C1">
        <w:t xml:space="preserve"> </w:t>
      </w:r>
      <w:r w:rsidR="006548C1">
        <w:t>not accepted</w:t>
      </w:r>
      <w:r w:rsidR="006548C1" w:rsidRPr="002402A3">
        <w:t xml:space="preserve"> </w:t>
      </w:r>
      <w:r w:rsidR="006548C1">
        <w:t>subcommittee could not rea</w:t>
      </w:r>
      <w:bookmarkStart w:id="8" w:name="_GoBack"/>
      <w:bookmarkEnd w:id="8"/>
      <w:r w:rsidR="006548C1">
        <w:t>ch consensus on how to resolve this issue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9E" w:rsidRDefault="006E079E" w:rsidP="00F671FE">
      <w:r>
        <w:separator/>
      </w:r>
    </w:p>
  </w:endnote>
  <w:endnote w:type="continuationSeparator" w:id="0">
    <w:p w:rsidR="006E079E" w:rsidRDefault="006E079E" w:rsidP="00F6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6E079E">
      <w:trPr>
        <w:trHeight w:val="151"/>
      </w:trPr>
      <w:tc>
        <w:tcPr>
          <w:tcW w:w="2250" w:type="pct"/>
          <w:tcBorders>
            <w:bottom w:val="single" w:sz="4" w:space="0" w:color="4F81BD"/>
          </w:tcBorders>
        </w:tcPr>
        <w:p w:rsidR="006E079E" w:rsidRDefault="006E079E">
          <w:pPr>
            <w:pStyle w:val="Header"/>
            <w:rPr>
              <w:rFonts w:ascii="Cambria" w:eastAsia="Times New Roman" w:hAnsi="Cambria"/>
              <w:b/>
              <w:bCs/>
            </w:rPr>
          </w:pPr>
        </w:p>
      </w:tc>
      <w:tc>
        <w:tcPr>
          <w:tcW w:w="500" w:type="pct"/>
          <w:vMerge w:val="restart"/>
          <w:noWrap/>
          <w:vAlign w:val="center"/>
        </w:tcPr>
        <w:p w:rsidR="006E079E" w:rsidRPr="00FC3F83" w:rsidRDefault="006E079E">
          <w:pPr>
            <w:pStyle w:val="NoSpacing"/>
            <w:rPr>
              <w:rFonts w:ascii="Cambria" w:hAnsi="Cambria"/>
            </w:rPr>
          </w:pPr>
          <w:r w:rsidRPr="00FC3F83">
            <w:rPr>
              <w:rFonts w:ascii="Cambria" w:hAnsi="Cambria"/>
              <w:b/>
            </w:rPr>
            <w:t xml:space="preserve">Page </w:t>
          </w:r>
          <w:r>
            <w:fldChar w:fldCharType="begin"/>
          </w:r>
          <w:r>
            <w:instrText xml:space="preserve"> PAGE  \* MERGEFORMAT </w:instrText>
          </w:r>
          <w:r>
            <w:fldChar w:fldCharType="separate"/>
          </w:r>
          <w:r w:rsidR="00942C4B" w:rsidRPr="00942C4B">
            <w:rPr>
              <w:rFonts w:ascii="Cambria" w:hAnsi="Cambria"/>
              <w:b/>
              <w:noProof/>
            </w:rPr>
            <w:t>2</w:t>
          </w:r>
          <w:r>
            <w:rPr>
              <w:rFonts w:ascii="Cambria" w:hAnsi="Cambria"/>
              <w:b/>
              <w:noProof/>
            </w:rPr>
            <w:fldChar w:fldCharType="end"/>
          </w:r>
        </w:p>
      </w:tc>
      <w:tc>
        <w:tcPr>
          <w:tcW w:w="2250" w:type="pct"/>
          <w:tcBorders>
            <w:bottom w:val="single" w:sz="4" w:space="0" w:color="4F81BD"/>
          </w:tcBorders>
        </w:tcPr>
        <w:p w:rsidR="006E079E" w:rsidRDefault="006E079E">
          <w:pPr>
            <w:pStyle w:val="Header"/>
            <w:rPr>
              <w:rFonts w:ascii="Cambria" w:eastAsia="Times New Roman" w:hAnsi="Cambria"/>
              <w:b/>
              <w:bCs/>
            </w:rPr>
          </w:pPr>
        </w:p>
      </w:tc>
    </w:tr>
    <w:tr w:rsidR="006E079E">
      <w:trPr>
        <w:trHeight w:val="150"/>
      </w:trPr>
      <w:tc>
        <w:tcPr>
          <w:tcW w:w="2250" w:type="pct"/>
          <w:tcBorders>
            <w:top w:val="single" w:sz="4" w:space="0" w:color="4F81BD"/>
          </w:tcBorders>
        </w:tcPr>
        <w:p w:rsidR="006E079E" w:rsidRDefault="006E079E">
          <w:pPr>
            <w:pStyle w:val="Header"/>
            <w:rPr>
              <w:rFonts w:ascii="Cambria" w:eastAsia="Times New Roman" w:hAnsi="Cambria"/>
              <w:b/>
              <w:bCs/>
            </w:rPr>
          </w:pPr>
        </w:p>
      </w:tc>
      <w:tc>
        <w:tcPr>
          <w:tcW w:w="500" w:type="pct"/>
          <w:vMerge/>
        </w:tcPr>
        <w:p w:rsidR="006E079E" w:rsidRDefault="006E079E">
          <w:pPr>
            <w:pStyle w:val="Header"/>
            <w:jc w:val="center"/>
            <w:rPr>
              <w:rFonts w:ascii="Cambria" w:eastAsia="Times New Roman" w:hAnsi="Cambria"/>
              <w:b/>
              <w:bCs/>
            </w:rPr>
          </w:pPr>
        </w:p>
      </w:tc>
      <w:tc>
        <w:tcPr>
          <w:tcW w:w="2250" w:type="pct"/>
          <w:tcBorders>
            <w:top w:val="single" w:sz="4" w:space="0" w:color="4F81BD"/>
          </w:tcBorders>
        </w:tcPr>
        <w:p w:rsidR="006E079E" w:rsidRDefault="006E079E">
          <w:pPr>
            <w:pStyle w:val="Header"/>
            <w:rPr>
              <w:rFonts w:ascii="Cambria" w:eastAsia="Times New Roman" w:hAnsi="Cambria"/>
              <w:b/>
              <w:bCs/>
            </w:rPr>
          </w:pPr>
        </w:p>
      </w:tc>
    </w:tr>
  </w:tbl>
  <w:p w:rsidR="006E079E" w:rsidRDefault="006E0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9E" w:rsidRDefault="006E079E" w:rsidP="00F671FE">
      <w:r>
        <w:separator/>
      </w:r>
    </w:p>
  </w:footnote>
  <w:footnote w:type="continuationSeparator" w:id="0">
    <w:p w:rsidR="006E079E" w:rsidRDefault="006E079E" w:rsidP="00F67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9E" w:rsidRDefault="006E0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9E" w:rsidRDefault="006E07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9E" w:rsidRDefault="006E0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5D8"/>
    <w:multiLevelType w:val="hybridMultilevel"/>
    <w:tmpl w:val="80CEC1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1F64"/>
    <w:multiLevelType w:val="hybridMultilevel"/>
    <w:tmpl w:val="D1B0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B96231"/>
    <w:multiLevelType w:val="hybridMultilevel"/>
    <w:tmpl w:val="8F58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5431E3"/>
    <w:multiLevelType w:val="hybridMultilevel"/>
    <w:tmpl w:val="1CAE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00A55"/>
    <w:multiLevelType w:val="hybridMultilevel"/>
    <w:tmpl w:val="35D8E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E1F81"/>
    <w:multiLevelType w:val="hybridMultilevel"/>
    <w:tmpl w:val="A34C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BC1DFF"/>
    <w:multiLevelType w:val="hybridMultilevel"/>
    <w:tmpl w:val="79D41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920AB"/>
    <w:multiLevelType w:val="hybridMultilevel"/>
    <w:tmpl w:val="FB7EB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310043"/>
    <w:multiLevelType w:val="hybridMultilevel"/>
    <w:tmpl w:val="7338BA2C"/>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12EC2"/>
    <w:multiLevelType w:val="hybridMultilevel"/>
    <w:tmpl w:val="0F5A5108"/>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C513C"/>
    <w:multiLevelType w:val="hybridMultilevel"/>
    <w:tmpl w:val="637615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40A35D34"/>
    <w:multiLevelType w:val="hybridMultilevel"/>
    <w:tmpl w:val="D2F0C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C44781"/>
    <w:multiLevelType w:val="hybridMultilevel"/>
    <w:tmpl w:val="672A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F87494"/>
    <w:multiLevelType w:val="hybridMultilevel"/>
    <w:tmpl w:val="1870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0E2A83"/>
    <w:multiLevelType w:val="hybridMultilevel"/>
    <w:tmpl w:val="259C5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DE659C"/>
    <w:multiLevelType w:val="hybridMultilevel"/>
    <w:tmpl w:val="E5322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BE17E34"/>
    <w:multiLevelType w:val="hybridMultilevel"/>
    <w:tmpl w:val="CA6C1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0238E"/>
    <w:multiLevelType w:val="hybridMultilevel"/>
    <w:tmpl w:val="66E24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AF1420"/>
    <w:multiLevelType w:val="hybridMultilevel"/>
    <w:tmpl w:val="634E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F63214"/>
    <w:multiLevelType w:val="hybridMultilevel"/>
    <w:tmpl w:val="C8946B5E"/>
    <w:lvl w:ilvl="0" w:tplc="74C643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E2E81"/>
    <w:multiLevelType w:val="hybridMultilevel"/>
    <w:tmpl w:val="7332E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643295A"/>
    <w:multiLevelType w:val="hybridMultilevel"/>
    <w:tmpl w:val="466A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7B261E"/>
    <w:multiLevelType w:val="hybridMultilevel"/>
    <w:tmpl w:val="11121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0B2DE0"/>
    <w:multiLevelType w:val="hybridMultilevel"/>
    <w:tmpl w:val="4D2C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DC6438"/>
    <w:multiLevelType w:val="hybridMultilevel"/>
    <w:tmpl w:val="ED86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6"/>
  </w:num>
  <w:num w:numId="4">
    <w:abstractNumId w:val="14"/>
  </w:num>
  <w:num w:numId="5">
    <w:abstractNumId w:val="19"/>
  </w:num>
  <w:num w:numId="6">
    <w:abstractNumId w:val="7"/>
  </w:num>
  <w:num w:numId="7">
    <w:abstractNumId w:val="1"/>
  </w:num>
  <w:num w:numId="8">
    <w:abstractNumId w:val="25"/>
  </w:num>
  <w:num w:numId="9">
    <w:abstractNumId w:val="24"/>
  </w:num>
  <w:num w:numId="10">
    <w:abstractNumId w:val="22"/>
  </w:num>
  <w:num w:numId="11">
    <w:abstractNumId w:val="8"/>
  </w:num>
  <w:num w:numId="12">
    <w:abstractNumId w:val="10"/>
  </w:num>
  <w:num w:numId="13">
    <w:abstractNumId w:val="21"/>
  </w:num>
  <w:num w:numId="14">
    <w:abstractNumId w:val="9"/>
  </w:num>
  <w:num w:numId="15">
    <w:abstractNumId w:val="11"/>
  </w:num>
  <w:num w:numId="16">
    <w:abstractNumId w:val="20"/>
  </w:num>
  <w:num w:numId="17">
    <w:abstractNumId w:val="18"/>
  </w:num>
  <w:num w:numId="18">
    <w:abstractNumId w:val="5"/>
  </w:num>
  <w:num w:numId="19">
    <w:abstractNumId w:val="2"/>
  </w:num>
  <w:num w:numId="20">
    <w:abstractNumId w:val="23"/>
  </w:num>
  <w:num w:numId="21">
    <w:abstractNumId w:val="12"/>
  </w:num>
  <w:num w:numId="22">
    <w:abstractNumId w:val="16"/>
  </w:num>
  <w:num w:numId="23">
    <w:abstractNumId w:val="15"/>
  </w:num>
  <w:num w:numId="24">
    <w:abstractNumId w:val="13"/>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5B"/>
    <w:rsid w:val="00011282"/>
    <w:rsid w:val="00011655"/>
    <w:rsid w:val="00011C92"/>
    <w:rsid w:val="00034250"/>
    <w:rsid w:val="00037321"/>
    <w:rsid w:val="0006605A"/>
    <w:rsid w:val="0007146F"/>
    <w:rsid w:val="000723F4"/>
    <w:rsid w:val="00080FC8"/>
    <w:rsid w:val="000944A6"/>
    <w:rsid w:val="000E6A42"/>
    <w:rsid w:val="001073B4"/>
    <w:rsid w:val="0011587C"/>
    <w:rsid w:val="00122BCE"/>
    <w:rsid w:val="001375CB"/>
    <w:rsid w:val="00147BD1"/>
    <w:rsid w:val="00162A95"/>
    <w:rsid w:val="001650CA"/>
    <w:rsid w:val="00190A1B"/>
    <w:rsid w:val="00193E90"/>
    <w:rsid w:val="001A4349"/>
    <w:rsid w:val="001C4CDA"/>
    <w:rsid w:val="001F3D86"/>
    <w:rsid w:val="00211E09"/>
    <w:rsid w:val="0021447F"/>
    <w:rsid w:val="00241E6A"/>
    <w:rsid w:val="00277423"/>
    <w:rsid w:val="00284F5B"/>
    <w:rsid w:val="002A317B"/>
    <w:rsid w:val="002D0CC6"/>
    <w:rsid w:val="002D4311"/>
    <w:rsid w:val="002D5DFE"/>
    <w:rsid w:val="002D760A"/>
    <w:rsid w:val="002E6051"/>
    <w:rsid w:val="002F52E9"/>
    <w:rsid w:val="002F6E11"/>
    <w:rsid w:val="003056E0"/>
    <w:rsid w:val="003354FE"/>
    <w:rsid w:val="003430B3"/>
    <w:rsid w:val="00350CB1"/>
    <w:rsid w:val="00393F91"/>
    <w:rsid w:val="003A279A"/>
    <w:rsid w:val="003A2E04"/>
    <w:rsid w:val="003A3665"/>
    <w:rsid w:val="003B2F0A"/>
    <w:rsid w:val="003B5BA6"/>
    <w:rsid w:val="003B7DA4"/>
    <w:rsid w:val="003D74B3"/>
    <w:rsid w:val="00417E30"/>
    <w:rsid w:val="004244AF"/>
    <w:rsid w:val="00461C79"/>
    <w:rsid w:val="004719A4"/>
    <w:rsid w:val="004B215D"/>
    <w:rsid w:val="004D6746"/>
    <w:rsid w:val="004D7A0C"/>
    <w:rsid w:val="004E1AD5"/>
    <w:rsid w:val="005003A9"/>
    <w:rsid w:val="00511B4C"/>
    <w:rsid w:val="00511E51"/>
    <w:rsid w:val="00572B9E"/>
    <w:rsid w:val="00577485"/>
    <w:rsid w:val="00584EB7"/>
    <w:rsid w:val="005A1DD3"/>
    <w:rsid w:val="005B3C0F"/>
    <w:rsid w:val="005D265C"/>
    <w:rsid w:val="005E36BE"/>
    <w:rsid w:val="005E59F7"/>
    <w:rsid w:val="00610143"/>
    <w:rsid w:val="00625689"/>
    <w:rsid w:val="00631B91"/>
    <w:rsid w:val="00637122"/>
    <w:rsid w:val="00653226"/>
    <w:rsid w:val="006548C1"/>
    <w:rsid w:val="0066323F"/>
    <w:rsid w:val="00671AB0"/>
    <w:rsid w:val="006B0595"/>
    <w:rsid w:val="006B42F3"/>
    <w:rsid w:val="006C4727"/>
    <w:rsid w:val="006D5AEE"/>
    <w:rsid w:val="006E079E"/>
    <w:rsid w:val="006E7A33"/>
    <w:rsid w:val="007033D3"/>
    <w:rsid w:val="00704E63"/>
    <w:rsid w:val="00712093"/>
    <w:rsid w:val="00725DF1"/>
    <w:rsid w:val="007264A7"/>
    <w:rsid w:val="00731A81"/>
    <w:rsid w:val="007615F5"/>
    <w:rsid w:val="00762686"/>
    <w:rsid w:val="0078545F"/>
    <w:rsid w:val="0079095C"/>
    <w:rsid w:val="007960B9"/>
    <w:rsid w:val="007B0830"/>
    <w:rsid w:val="007B7AB1"/>
    <w:rsid w:val="007C7FE8"/>
    <w:rsid w:val="007D4EFB"/>
    <w:rsid w:val="00802903"/>
    <w:rsid w:val="008104C8"/>
    <w:rsid w:val="008232FA"/>
    <w:rsid w:val="00831C89"/>
    <w:rsid w:val="00837A7C"/>
    <w:rsid w:val="0084559D"/>
    <w:rsid w:val="00866BB7"/>
    <w:rsid w:val="00874C94"/>
    <w:rsid w:val="00880107"/>
    <w:rsid w:val="008824BD"/>
    <w:rsid w:val="00893481"/>
    <w:rsid w:val="0089507D"/>
    <w:rsid w:val="008A4310"/>
    <w:rsid w:val="008C190E"/>
    <w:rsid w:val="008D4E9F"/>
    <w:rsid w:val="008E2C64"/>
    <w:rsid w:val="008F4A3C"/>
    <w:rsid w:val="00911EEB"/>
    <w:rsid w:val="009356AD"/>
    <w:rsid w:val="00942C4B"/>
    <w:rsid w:val="00965A99"/>
    <w:rsid w:val="00971372"/>
    <w:rsid w:val="009E2AD9"/>
    <w:rsid w:val="009F1F1F"/>
    <w:rsid w:val="009F778F"/>
    <w:rsid w:val="00A07A05"/>
    <w:rsid w:val="00A12B5B"/>
    <w:rsid w:val="00A225AD"/>
    <w:rsid w:val="00A344D5"/>
    <w:rsid w:val="00A77FF3"/>
    <w:rsid w:val="00A80563"/>
    <w:rsid w:val="00A81C31"/>
    <w:rsid w:val="00A83183"/>
    <w:rsid w:val="00AB1BC3"/>
    <w:rsid w:val="00AC55DD"/>
    <w:rsid w:val="00AE5AA5"/>
    <w:rsid w:val="00AF0DE8"/>
    <w:rsid w:val="00B01DF8"/>
    <w:rsid w:val="00B0773A"/>
    <w:rsid w:val="00B10314"/>
    <w:rsid w:val="00B21358"/>
    <w:rsid w:val="00B22D1C"/>
    <w:rsid w:val="00B27664"/>
    <w:rsid w:val="00B3233C"/>
    <w:rsid w:val="00B47CED"/>
    <w:rsid w:val="00B71F03"/>
    <w:rsid w:val="00B72FA8"/>
    <w:rsid w:val="00B85818"/>
    <w:rsid w:val="00BD442B"/>
    <w:rsid w:val="00BE6E04"/>
    <w:rsid w:val="00BE7E68"/>
    <w:rsid w:val="00C06630"/>
    <w:rsid w:val="00C067FC"/>
    <w:rsid w:val="00C106A5"/>
    <w:rsid w:val="00C11881"/>
    <w:rsid w:val="00C13696"/>
    <w:rsid w:val="00C27C76"/>
    <w:rsid w:val="00C353F3"/>
    <w:rsid w:val="00C35550"/>
    <w:rsid w:val="00C35594"/>
    <w:rsid w:val="00C4460C"/>
    <w:rsid w:val="00C4756F"/>
    <w:rsid w:val="00C56031"/>
    <w:rsid w:val="00C81D6C"/>
    <w:rsid w:val="00CB6929"/>
    <w:rsid w:val="00CC3441"/>
    <w:rsid w:val="00CC3CB1"/>
    <w:rsid w:val="00CD0877"/>
    <w:rsid w:val="00CD55A2"/>
    <w:rsid w:val="00CE3277"/>
    <w:rsid w:val="00CE6BD7"/>
    <w:rsid w:val="00CE7180"/>
    <w:rsid w:val="00D03375"/>
    <w:rsid w:val="00D05DAE"/>
    <w:rsid w:val="00D15ACF"/>
    <w:rsid w:val="00D2127D"/>
    <w:rsid w:val="00D319B8"/>
    <w:rsid w:val="00D346AC"/>
    <w:rsid w:val="00D44042"/>
    <w:rsid w:val="00D47CCD"/>
    <w:rsid w:val="00D52DC0"/>
    <w:rsid w:val="00D561FF"/>
    <w:rsid w:val="00D6251E"/>
    <w:rsid w:val="00D82400"/>
    <w:rsid w:val="00D830DB"/>
    <w:rsid w:val="00D844A7"/>
    <w:rsid w:val="00D86BBE"/>
    <w:rsid w:val="00D9374C"/>
    <w:rsid w:val="00DD6F98"/>
    <w:rsid w:val="00DE1102"/>
    <w:rsid w:val="00DE201B"/>
    <w:rsid w:val="00DF2F39"/>
    <w:rsid w:val="00E00169"/>
    <w:rsid w:val="00E0654D"/>
    <w:rsid w:val="00E235ED"/>
    <w:rsid w:val="00E47D05"/>
    <w:rsid w:val="00E50679"/>
    <w:rsid w:val="00E676C1"/>
    <w:rsid w:val="00E706E7"/>
    <w:rsid w:val="00E82F77"/>
    <w:rsid w:val="00EA5A85"/>
    <w:rsid w:val="00EB711A"/>
    <w:rsid w:val="00EC064A"/>
    <w:rsid w:val="00ED3926"/>
    <w:rsid w:val="00EE29D4"/>
    <w:rsid w:val="00F16ACF"/>
    <w:rsid w:val="00F16C77"/>
    <w:rsid w:val="00F41DFD"/>
    <w:rsid w:val="00F45B09"/>
    <w:rsid w:val="00F62AEB"/>
    <w:rsid w:val="00F671FE"/>
    <w:rsid w:val="00F71C2B"/>
    <w:rsid w:val="00F809BB"/>
    <w:rsid w:val="00F83863"/>
    <w:rsid w:val="00F96588"/>
    <w:rsid w:val="00FB2227"/>
    <w:rsid w:val="00FB2BEA"/>
    <w:rsid w:val="00FB3653"/>
    <w:rsid w:val="00FB4110"/>
    <w:rsid w:val="00FC12EE"/>
    <w:rsid w:val="00FC3F83"/>
    <w:rsid w:val="00FC711A"/>
    <w:rsid w:val="00FD300B"/>
    <w:rsid w:val="00FD6635"/>
    <w:rsid w:val="00FF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link w:val="Header"/>
    <w:uiPriority w:val="99"/>
    <w:rsid w:val="00F671FE"/>
    <w:rPr>
      <w:rFonts w:ascii="Arial" w:eastAsia="Calibri" w:hAnsi="Arial" w:cs="Times New Roman"/>
    </w:rPr>
  </w:style>
  <w:style w:type="paragraph" w:styleId="Footer">
    <w:name w:val="footer"/>
    <w:basedOn w:val="Normal"/>
    <w:link w:val="FooterChar"/>
    <w:uiPriority w:val="99"/>
    <w:unhideWhenUsed/>
    <w:rsid w:val="00F671FE"/>
    <w:pPr>
      <w:tabs>
        <w:tab w:val="center" w:pos="4680"/>
        <w:tab w:val="right" w:pos="9360"/>
      </w:tabs>
    </w:pPr>
  </w:style>
  <w:style w:type="character" w:customStyle="1" w:styleId="FooterChar">
    <w:name w:val="Footer Char"/>
    <w:link w:val="Footer"/>
    <w:uiPriority w:val="99"/>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PlainText">
    <w:name w:val="Plain Text"/>
    <w:basedOn w:val="Normal"/>
    <w:link w:val="PlainTextChar"/>
    <w:uiPriority w:val="99"/>
    <w:semiHidden/>
    <w:unhideWhenUsed/>
    <w:rsid w:val="003B5BA6"/>
    <w:rPr>
      <w:szCs w:val="21"/>
    </w:rPr>
  </w:style>
  <w:style w:type="character" w:customStyle="1" w:styleId="PlainTextChar">
    <w:name w:val="Plain Text Char"/>
    <w:link w:val="PlainText"/>
    <w:uiPriority w:val="99"/>
    <w:semiHidden/>
    <w:rsid w:val="003B5BA6"/>
    <w:rPr>
      <w:rFonts w:ascii="Arial" w:hAnsi="Arial"/>
      <w:sz w:val="22"/>
      <w:szCs w:val="21"/>
    </w:rPr>
  </w:style>
  <w:style w:type="paragraph" w:styleId="BalloonText">
    <w:name w:val="Balloon Text"/>
    <w:basedOn w:val="Normal"/>
    <w:link w:val="BalloonTextChar"/>
    <w:uiPriority w:val="99"/>
    <w:semiHidden/>
    <w:unhideWhenUsed/>
    <w:rsid w:val="00EB711A"/>
    <w:rPr>
      <w:rFonts w:ascii="Tahoma" w:hAnsi="Tahoma" w:cs="Tahoma"/>
      <w:sz w:val="16"/>
      <w:szCs w:val="16"/>
    </w:rPr>
  </w:style>
  <w:style w:type="character" w:customStyle="1" w:styleId="BalloonTextChar">
    <w:name w:val="Balloon Text Char"/>
    <w:basedOn w:val="DefaultParagraphFont"/>
    <w:link w:val="BalloonText"/>
    <w:uiPriority w:val="99"/>
    <w:semiHidden/>
    <w:rsid w:val="00EB711A"/>
    <w:rPr>
      <w:rFonts w:ascii="Tahoma" w:hAnsi="Tahoma" w:cs="Tahoma"/>
      <w:sz w:val="16"/>
      <w:szCs w:val="16"/>
    </w:rPr>
  </w:style>
  <w:style w:type="character" w:styleId="CommentReference">
    <w:name w:val="annotation reference"/>
    <w:basedOn w:val="DefaultParagraphFont"/>
    <w:uiPriority w:val="99"/>
    <w:semiHidden/>
    <w:unhideWhenUsed/>
    <w:rsid w:val="00CB6929"/>
    <w:rPr>
      <w:sz w:val="16"/>
      <w:szCs w:val="16"/>
    </w:rPr>
  </w:style>
  <w:style w:type="paragraph" w:styleId="CommentText">
    <w:name w:val="annotation text"/>
    <w:basedOn w:val="Normal"/>
    <w:link w:val="CommentTextChar"/>
    <w:uiPriority w:val="99"/>
    <w:semiHidden/>
    <w:unhideWhenUsed/>
    <w:rsid w:val="00CB6929"/>
    <w:rPr>
      <w:sz w:val="20"/>
      <w:szCs w:val="20"/>
    </w:rPr>
  </w:style>
  <w:style w:type="character" w:customStyle="1" w:styleId="CommentTextChar">
    <w:name w:val="Comment Text Char"/>
    <w:basedOn w:val="DefaultParagraphFont"/>
    <w:link w:val="CommentText"/>
    <w:uiPriority w:val="99"/>
    <w:semiHidden/>
    <w:rsid w:val="00CB6929"/>
    <w:rPr>
      <w:rFonts w:ascii="Arial" w:hAnsi="Arial"/>
    </w:rPr>
  </w:style>
  <w:style w:type="paragraph" w:styleId="CommentSubject">
    <w:name w:val="annotation subject"/>
    <w:basedOn w:val="CommentText"/>
    <w:next w:val="CommentText"/>
    <w:link w:val="CommentSubjectChar"/>
    <w:uiPriority w:val="99"/>
    <w:semiHidden/>
    <w:unhideWhenUsed/>
    <w:rsid w:val="00CB6929"/>
    <w:rPr>
      <w:b/>
      <w:bCs/>
    </w:rPr>
  </w:style>
  <w:style w:type="character" w:customStyle="1" w:styleId="CommentSubjectChar">
    <w:name w:val="Comment Subject Char"/>
    <w:basedOn w:val="CommentTextChar"/>
    <w:link w:val="CommentSubject"/>
    <w:uiPriority w:val="99"/>
    <w:semiHidden/>
    <w:rsid w:val="00CB6929"/>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link w:val="Header"/>
    <w:uiPriority w:val="99"/>
    <w:rsid w:val="00F671FE"/>
    <w:rPr>
      <w:rFonts w:ascii="Arial" w:eastAsia="Calibri" w:hAnsi="Arial" w:cs="Times New Roman"/>
    </w:rPr>
  </w:style>
  <w:style w:type="paragraph" w:styleId="Footer">
    <w:name w:val="footer"/>
    <w:basedOn w:val="Normal"/>
    <w:link w:val="FooterChar"/>
    <w:uiPriority w:val="99"/>
    <w:unhideWhenUsed/>
    <w:rsid w:val="00F671FE"/>
    <w:pPr>
      <w:tabs>
        <w:tab w:val="center" w:pos="4680"/>
        <w:tab w:val="right" w:pos="9360"/>
      </w:tabs>
    </w:pPr>
  </w:style>
  <w:style w:type="character" w:customStyle="1" w:styleId="FooterChar">
    <w:name w:val="Footer Char"/>
    <w:link w:val="Footer"/>
    <w:uiPriority w:val="99"/>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PlainText">
    <w:name w:val="Plain Text"/>
    <w:basedOn w:val="Normal"/>
    <w:link w:val="PlainTextChar"/>
    <w:uiPriority w:val="99"/>
    <w:semiHidden/>
    <w:unhideWhenUsed/>
    <w:rsid w:val="003B5BA6"/>
    <w:rPr>
      <w:szCs w:val="21"/>
    </w:rPr>
  </w:style>
  <w:style w:type="character" w:customStyle="1" w:styleId="PlainTextChar">
    <w:name w:val="Plain Text Char"/>
    <w:link w:val="PlainText"/>
    <w:uiPriority w:val="99"/>
    <w:semiHidden/>
    <w:rsid w:val="003B5BA6"/>
    <w:rPr>
      <w:rFonts w:ascii="Arial" w:hAnsi="Arial"/>
      <w:sz w:val="22"/>
      <w:szCs w:val="21"/>
    </w:rPr>
  </w:style>
  <w:style w:type="paragraph" w:styleId="BalloonText">
    <w:name w:val="Balloon Text"/>
    <w:basedOn w:val="Normal"/>
    <w:link w:val="BalloonTextChar"/>
    <w:uiPriority w:val="99"/>
    <w:semiHidden/>
    <w:unhideWhenUsed/>
    <w:rsid w:val="00EB711A"/>
    <w:rPr>
      <w:rFonts w:ascii="Tahoma" w:hAnsi="Tahoma" w:cs="Tahoma"/>
      <w:sz w:val="16"/>
      <w:szCs w:val="16"/>
    </w:rPr>
  </w:style>
  <w:style w:type="character" w:customStyle="1" w:styleId="BalloonTextChar">
    <w:name w:val="Balloon Text Char"/>
    <w:basedOn w:val="DefaultParagraphFont"/>
    <w:link w:val="BalloonText"/>
    <w:uiPriority w:val="99"/>
    <w:semiHidden/>
    <w:rsid w:val="00EB711A"/>
    <w:rPr>
      <w:rFonts w:ascii="Tahoma" w:hAnsi="Tahoma" w:cs="Tahoma"/>
      <w:sz w:val="16"/>
      <w:szCs w:val="16"/>
    </w:rPr>
  </w:style>
  <w:style w:type="character" w:styleId="CommentReference">
    <w:name w:val="annotation reference"/>
    <w:basedOn w:val="DefaultParagraphFont"/>
    <w:uiPriority w:val="99"/>
    <w:semiHidden/>
    <w:unhideWhenUsed/>
    <w:rsid w:val="00CB6929"/>
    <w:rPr>
      <w:sz w:val="16"/>
      <w:szCs w:val="16"/>
    </w:rPr>
  </w:style>
  <w:style w:type="paragraph" w:styleId="CommentText">
    <w:name w:val="annotation text"/>
    <w:basedOn w:val="Normal"/>
    <w:link w:val="CommentTextChar"/>
    <w:uiPriority w:val="99"/>
    <w:semiHidden/>
    <w:unhideWhenUsed/>
    <w:rsid w:val="00CB6929"/>
    <w:rPr>
      <w:sz w:val="20"/>
      <w:szCs w:val="20"/>
    </w:rPr>
  </w:style>
  <w:style w:type="character" w:customStyle="1" w:styleId="CommentTextChar">
    <w:name w:val="Comment Text Char"/>
    <w:basedOn w:val="DefaultParagraphFont"/>
    <w:link w:val="CommentText"/>
    <w:uiPriority w:val="99"/>
    <w:semiHidden/>
    <w:rsid w:val="00CB6929"/>
    <w:rPr>
      <w:rFonts w:ascii="Arial" w:hAnsi="Arial"/>
    </w:rPr>
  </w:style>
  <w:style w:type="paragraph" w:styleId="CommentSubject">
    <w:name w:val="annotation subject"/>
    <w:basedOn w:val="CommentText"/>
    <w:next w:val="CommentText"/>
    <w:link w:val="CommentSubjectChar"/>
    <w:uiPriority w:val="99"/>
    <w:semiHidden/>
    <w:unhideWhenUsed/>
    <w:rsid w:val="00CB6929"/>
    <w:rPr>
      <w:b/>
      <w:bCs/>
    </w:rPr>
  </w:style>
  <w:style w:type="character" w:customStyle="1" w:styleId="CommentSubjectChar">
    <w:name w:val="Comment Subject Char"/>
    <w:basedOn w:val="CommentTextChar"/>
    <w:link w:val="CommentSubject"/>
    <w:uiPriority w:val="99"/>
    <w:semiHidden/>
    <w:rsid w:val="00CB692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8713">
      <w:bodyDiv w:val="1"/>
      <w:marLeft w:val="0"/>
      <w:marRight w:val="0"/>
      <w:marTop w:val="0"/>
      <w:marBottom w:val="0"/>
      <w:divBdr>
        <w:top w:val="none" w:sz="0" w:space="0" w:color="auto"/>
        <w:left w:val="none" w:sz="0" w:space="0" w:color="auto"/>
        <w:bottom w:val="none" w:sz="0" w:space="0" w:color="auto"/>
        <w:right w:val="none" w:sz="0" w:space="0" w:color="auto"/>
      </w:divBdr>
    </w:div>
    <w:div w:id="10269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Phillips</dc:creator>
  <cp:lastModifiedBy>Wood, James T.</cp:lastModifiedBy>
  <cp:revision>2</cp:revision>
  <dcterms:created xsi:type="dcterms:W3CDTF">2016-01-20T17:37:00Z</dcterms:created>
  <dcterms:modified xsi:type="dcterms:W3CDTF">2016-02-05T16:09:00Z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563395718</vt:i4>
  </property>
  <property fmtid="{D5CDD505-2E9C-101B-9397-08002B2CF9AE}" pid="3" name="_NewReviewCycle">
    <vt:lpwstr/>
  </property>
  <property fmtid="{D5CDD505-2E9C-101B-9397-08002B2CF9AE}" pid="4" name="_EmailSubject">
    <vt:lpwstr>Late Comments Submitted by the WEQ OASIS Subcommittee</vt:lpwstr>
  </property>
  <property fmtid="{D5CDD505-2E9C-101B-9397-08002B2CF9AE}" pid="5" name="_AuthorEmail">
    <vt:lpwstr>JTWOOD@southernco.com</vt:lpwstr>
  </property>
  <property fmtid="{D5CDD505-2E9C-101B-9397-08002B2CF9AE}" pid="6" name="_AuthorEmailDisplayName">
    <vt:lpwstr>Wood, James T.</vt:lpwstr>
  </property>
</Properties>
</file>