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288" w:rsidRDefault="00690288" w:rsidP="00666568">
      <w:r>
        <w:t>Bonneville Power Administration</w:t>
      </w:r>
      <w:r w:rsidR="00FE08C6">
        <w:t xml:space="preserve"> – (</w:t>
      </w:r>
      <w:r w:rsidR="00665778">
        <w:t>1</w:t>
      </w:r>
      <w:r w:rsidR="004226E5">
        <w:t>1</w:t>
      </w:r>
      <w:r w:rsidR="00665778">
        <w:t>/</w:t>
      </w:r>
      <w:r w:rsidR="002774C7">
        <w:t>30</w:t>
      </w:r>
      <w:r w:rsidR="00665778">
        <w:t>/2016</w:t>
      </w:r>
      <w:r w:rsidR="00FE08C6">
        <w:t>)</w:t>
      </w:r>
    </w:p>
    <w:p w:rsidR="00690288" w:rsidRDefault="00690288">
      <w:r>
        <w:t xml:space="preserve">Long-Term Firm Rollover Rights Competition (OATT Section 2.2) </w:t>
      </w:r>
      <w:r w:rsidR="002774C7">
        <w:t xml:space="preserve">Formal </w:t>
      </w:r>
      <w:r>
        <w:t>Comments</w:t>
      </w:r>
    </w:p>
    <w:p w:rsidR="00D82E77" w:rsidRPr="0088620D" w:rsidRDefault="003C37DF">
      <w:pPr>
        <w:rPr>
          <w:b/>
          <w:u w:val="single"/>
        </w:rPr>
      </w:pPr>
      <w:r>
        <w:rPr>
          <w:b/>
          <w:u w:val="single"/>
        </w:rPr>
        <w:t>Introduction</w:t>
      </w:r>
    </w:p>
    <w:p w:rsidR="00B07088" w:rsidRDefault="00403D28">
      <w:r>
        <w:t xml:space="preserve">The </w:t>
      </w:r>
      <w:r w:rsidR="00F03E7F">
        <w:t>Bonneville Power Administration</w:t>
      </w:r>
      <w:r w:rsidR="00AA7A86">
        <w:t xml:space="preserve"> (BPA) would like to thank</w:t>
      </w:r>
      <w:r w:rsidR="002774C7">
        <w:t xml:space="preserve"> the</w:t>
      </w:r>
      <w:r w:rsidR="00AA7A86">
        <w:t xml:space="preserve"> </w:t>
      </w:r>
      <w:r w:rsidR="00BA6280">
        <w:t xml:space="preserve">NAESB </w:t>
      </w:r>
      <w:r w:rsidR="002774C7">
        <w:t xml:space="preserve">WEQ Executive Committee for accepting our appeal to consider this version of the proposed standard for Long-Term Firm Rollover Rights Competition (OATT Section 2.2).  BPA believes this effort will help </w:t>
      </w:r>
      <w:r w:rsidR="00B07088">
        <w:t xml:space="preserve">move the industry towards increased transparency and consistency on this topic, which </w:t>
      </w:r>
      <w:r w:rsidR="003B7E70">
        <w:t xml:space="preserve">we believe </w:t>
      </w:r>
      <w:r w:rsidR="00B07088">
        <w:t xml:space="preserve">benefits both </w:t>
      </w:r>
      <w:r w:rsidR="006C2FBA">
        <w:t>T</w:t>
      </w:r>
      <w:r w:rsidR="00B07088">
        <w:t xml:space="preserve">ransmission </w:t>
      </w:r>
      <w:r w:rsidR="006C2FBA">
        <w:t>P</w:t>
      </w:r>
      <w:r w:rsidR="00B07088">
        <w:t xml:space="preserve">roviders and their customers.  </w:t>
      </w:r>
    </w:p>
    <w:p w:rsidR="004023F7" w:rsidRPr="0088620D" w:rsidRDefault="004023F7">
      <w:pPr>
        <w:rPr>
          <w:u w:val="single"/>
        </w:rPr>
      </w:pPr>
      <w:r w:rsidRPr="0088620D">
        <w:rPr>
          <w:b/>
          <w:u w:val="single"/>
        </w:rPr>
        <w:t>Background</w:t>
      </w:r>
    </w:p>
    <w:p w:rsidR="00664D41" w:rsidRDefault="004623BF">
      <w:r>
        <w:t xml:space="preserve">To begin, </w:t>
      </w:r>
      <w:r w:rsidR="00EC4544">
        <w:t xml:space="preserve">BPA </w:t>
      </w:r>
      <w:r w:rsidR="00E85F1C">
        <w:t>believes it is important</w:t>
      </w:r>
      <w:r>
        <w:t xml:space="preserve"> for the WEQ Executive Committee </w:t>
      </w:r>
      <w:r w:rsidR="00E85F1C">
        <w:t xml:space="preserve">to understand </w:t>
      </w:r>
      <w:r>
        <w:t>the importance and need</w:t>
      </w:r>
      <w:r w:rsidR="00E85F1C">
        <w:t xml:space="preserve"> </w:t>
      </w:r>
      <w:r w:rsidR="002F6DE4">
        <w:t>for</w:t>
      </w:r>
      <w:r w:rsidR="00E85F1C">
        <w:t xml:space="preserve"> the revisions to WEQ-001</w:t>
      </w:r>
      <w:r w:rsidR="00CD31B6">
        <w:t>-</w:t>
      </w:r>
      <w:r w:rsidR="00E85F1C">
        <w:t>20</w:t>
      </w:r>
      <w:r w:rsidR="006C2FBA">
        <w:t xml:space="preserve"> </w:t>
      </w:r>
      <w:r w:rsidR="007A7F04">
        <w:t>“Rollover”</w:t>
      </w:r>
      <w:r w:rsidR="00E85F1C">
        <w:t xml:space="preserve">.  </w:t>
      </w:r>
      <w:r w:rsidR="00ED2EC8">
        <w:t>Rollover rights (also referred to as “the right of first refusal”)</w:t>
      </w:r>
      <w:r>
        <w:t xml:space="preserve"> are an essential feature of the </w:t>
      </w:r>
      <w:r>
        <w:rPr>
          <w:i/>
        </w:rPr>
        <w:t xml:space="preserve">pro forma </w:t>
      </w:r>
      <w:r>
        <w:t xml:space="preserve">Open Access Transmission Tariff (OATT).  They </w:t>
      </w:r>
      <w:r w:rsidR="00ED2EC8">
        <w:t xml:space="preserve">enable existing </w:t>
      </w:r>
      <w:r w:rsidR="006C2FBA">
        <w:t>T</w:t>
      </w:r>
      <w:r w:rsidR="00ED2EC8">
        <w:t xml:space="preserve">ransmission </w:t>
      </w:r>
      <w:r w:rsidR="006C2FBA">
        <w:t>C</w:t>
      </w:r>
      <w:r w:rsidR="00ED2EC8">
        <w:t>ustomers to continue to use (or rollover) their current transmission service</w:t>
      </w:r>
      <w:r w:rsidR="0086091B">
        <w:t xml:space="preserve"> into a new agreement upon the expiration, termination, or rollover of their service</w:t>
      </w:r>
      <w:r w:rsidR="00ED2EC8">
        <w:t xml:space="preserve">.  </w:t>
      </w:r>
      <w:r>
        <w:t xml:space="preserve">These rights are guaranteed by </w:t>
      </w:r>
      <w:r w:rsidR="00BC24BF">
        <w:t>Section 2.2</w:t>
      </w:r>
      <w:r>
        <w:t xml:space="preserve"> of the OATT, and are the only </w:t>
      </w:r>
      <w:r w:rsidR="00ED2EC8">
        <w:t xml:space="preserve">mechanism by which current, long-term </w:t>
      </w:r>
      <w:r w:rsidR="006C2FBA">
        <w:t>T</w:t>
      </w:r>
      <w:r w:rsidR="00ED2EC8">
        <w:t xml:space="preserve">ransmission </w:t>
      </w:r>
      <w:r w:rsidR="006C2FBA">
        <w:t>C</w:t>
      </w:r>
      <w:r w:rsidR="00ED2EC8">
        <w:t xml:space="preserve">ustomers retain their rights to the existing transmission system. </w:t>
      </w:r>
      <w:r w:rsidR="0086091B">
        <w:t xml:space="preserve"> Without </w:t>
      </w:r>
      <w:r w:rsidR="002B16C7">
        <w:t>rollover rights</w:t>
      </w:r>
      <w:r w:rsidR="0086091B">
        <w:t xml:space="preserve">, loads </w:t>
      </w:r>
      <w:r w:rsidR="00B365D1">
        <w:t>or</w:t>
      </w:r>
      <w:r w:rsidR="0086091B">
        <w:t xml:space="preserve"> resources could be stranded within a </w:t>
      </w:r>
      <w:r w:rsidR="006C2FBA">
        <w:t>T</w:t>
      </w:r>
      <w:r w:rsidR="0086091B">
        <w:t xml:space="preserve">ransmission </w:t>
      </w:r>
      <w:r w:rsidR="006C2FBA">
        <w:t>P</w:t>
      </w:r>
      <w:r w:rsidR="0086091B">
        <w:t xml:space="preserve">rovider’s system, </w:t>
      </w:r>
      <w:r w:rsidR="00B365D1">
        <w:t>as other new</w:t>
      </w:r>
      <w:r w:rsidR="009170A6">
        <w:t>er</w:t>
      </w:r>
      <w:r w:rsidR="00B365D1">
        <w:t xml:space="preserve"> requesters </w:t>
      </w:r>
      <w:r w:rsidR="0086228F">
        <w:t xml:space="preserve">with more recent transmission requests </w:t>
      </w:r>
      <w:r w:rsidR="00B365D1">
        <w:t xml:space="preserve">crowd out existing users </w:t>
      </w:r>
      <w:r w:rsidR="002B16C7">
        <w:t xml:space="preserve">for limited transmission capacity.  </w:t>
      </w:r>
      <w:r w:rsidR="00D90F92">
        <w:t xml:space="preserve">At the same time, </w:t>
      </w:r>
      <w:r w:rsidR="00EB7CC8">
        <w:t xml:space="preserve">the right to rollover transmission service is not unlimited.    The right to rollover existing service is a </w:t>
      </w:r>
      <w:r w:rsidR="00CF541B">
        <w:t>“</w:t>
      </w:r>
      <w:r w:rsidR="00EB7CC8">
        <w:t>right of first refusal</w:t>
      </w:r>
      <w:r w:rsidR="00CF541B">
        <w:t>”</w:t>
      </w:r>
      <w:r w:rsidR="00EB7CC8">
        <w:t xml:space="preserve"> – other new requests can compete for those </w:t>
      </w:r>
      <w:r w:rsidR="0086228F">
        <w:t xml:space="preserve">same </w:t>
      </w:r>
      <w:r w:rsidR="00EB7CC8">
        <w:t xml:space="preserve">transmission rights.  The incumbent can lose its </w:t>
      </w:r>
      <w:r w:rsidR="005F5FFF">
        <w:t xml:space="preserve">transmission </w:t>
      </w:r>
      <w:r w:rsidR="00EB7CC8">
        <w:t>rights if it chooses not t</w:t>
      </w:r>
      <w:r w:rsidR="005F5FFF">
        <w:t xml:space="preserve">o extend its service agreement to match a competing transmission request.  This aspect of the rollover provision ensures that transmission capacity is being used by the customers that are </w:t>
      </w:r>
      <w:r w:rsidR="00495238">
        <w:t xml:space="preserve">the most </w:t>
      </w:r>
      <w:r w:rsidR="0086228F">
        <w:t xml:space="preserve">willing to commit to </w:t>
      </w:r>
      <w:r w:rsidR="005F5FFF">
        <w:t>pay for it</w:t>
      </w:r>
      <w:r w:rsidR="0086228F">
        <w:t xml:space="preserve"> for the longest duration</w:t>
      </w:r>
      <w:r w:rsidR="005F5FFF">
        <w:t xml:space="preserve">.  </w:t>
      </w:r>
      <w:r w:rsidR="00664D41">
        <w:t>H</w:t>
      </w:r>
      <w:r w:rsidR="00BC24BF">
        <w:t>aving a</w:t>
      </w:r>
      <w:r w:rsidR="00664D41">
        <w:t xml:space="preserve"> well-defined</w:t>
      </w:r>
      <w:r w:rsidR="006E431B">
        <w:t xml:space="preserve"> </w:t>
      </w:r>
      <w:r w:rsidR="002B16C7">
        <w:t xml:space="preserve">process for </w:t>
      </w:r>
      <w:r w:rsidR="00BC24BF">
        <w:t>exercising rollover rights, as well as procedures for determining whose rights prevail over others, is</w:t>
      </w:r>
      <w:r w:rsidR="006E431B">
        <w:t xml:space="preserve"> therefore extremely</w:t>
      </w:r>
      <w:r w:rsidR="002B16C7">
        <w:t xml:space="preserve"> important to the </w:t>
      </w:r>
      <w:r w:rsidR="006E431B">
        <w:t>orderly</w:t>
      </w:r>
      <w:r w:rsidR="009E285A">
        <w:t xml:space="preserve"> transfer</w:t>
      </w:r>
      <w:r w:rsidR="009170A6">
        <w:t xml:space="preserve"> and award</w:t>
      </w:r>
      <w:r w:rsidR="00664D41">
        <w:t xml:space="preserve"> of transmission rights </w:t>
      </w:r>
      <w:r w:rsidR="009E285A">
        <w:t>under</w:t>
      </w:r>
      <w:r w:rsidR="002B16C7">
        <w:t xml:space="preserve"> the OATT</w:t>
      </w:r>
      <w:r w:rsidR="009170A6">
        <w:t xml:space="preserve"> paradigm</w:t>
      </w:r>
      <w:r w:rsidR="002B16C7">
        <w:t>.</w:t>
      </w:r>
      <w:r w:rsidR="00664D41">
        <w:t xml:space="preserve">  </w:t>
      </w:r>
    </w:p>
    <w:p w:rsidR="003B172B" w:rsidRDefault="002B16C7">
      <w:r>
        <w:t>The current</w:t>
      </w:r>
      <w:r w:rsidR="006A2A3C">
        <w:t>ly</w:t>
      </w:r>
      <w:r>
        <w:t xml:space="preserve"> approved version of WEQ-001</w:t>
      </w:r>
      <w:r w:rsidR="00CD31B6">
        <w:t>-</w:t>
      </w:r>
      <w:r>
        <w:t xml:space="preserve">20 “Rollover” </w:t>
      </w:r>
      <w:r w:rsidR="006E431B">
        <w:t>provides that</w:t>
      </w:r>
      <w:r w:rsidR="00EB7CC8">
        <w:t xml:space="preserve"> orderly process (in part</w:t>
      </w:r>
      <w:r w:rsidR="006E431B">
        <w:t xml:space="preserve">) by describing </w:t>
      </w:r>
      <w:r>
        <w:t xml:space="preserve">the procedures and </w:t>
      </w:r>
      <w:r w:rsidR="004147C9">
        <w:t>steps</w:t>
      </w:r>
      <w:r>
        <w:t xml:space="preserve"> for </w:t>
      </w:r>
      <w:r w:rsidR="004147C9">
        <w:t>exercising</w:t>
      </w:r>
      <w:r>
        <w:t xml:space="preserve"> and granting rollover rights associated with Point-to-Point (PTP) transmission users.  </w:t>
      </w:r>
      <w:r w:rsidR="00E85F1C">
        <w:t xml:space="preserve">It </w:t>
      </w:r>
      <w:r w:rsidR="007A262B">
        <w:t>omits</w:t>
      </w:r>
      <w:r w:rsidR="00BE4040">
        <w:t>, however,</w:t>
      </w:r>
      <w:r w:rsidR="007A262B">
        <w:t xml:space="preserve"> any mention of</w:t>
      </w:r>
      <w:r w:rsidR="00E85F1C">
        <w:t xml:space="preserve"> the procedures or</w:t>
      </w:r>
      <w:r w:rsidR="007A262B">
        <w:t xml:space="preserve"> processes that would govern the rollover of the other major </w:t>
      </w:r>
      <w:r w:rsidR="003B172B">
        <w:t xml:space="preserve">transmission </w:t>
      </w:r>
      <w:r w:rsidR="007A262B">
        <w:t xml:space="preserve">service offered under the </w:t>
      </w:r>
      <w:r w:rsidR="007A262B">
        <w:rPr>
          <w:i/>
        </w:rPr>
        <w:t xml:space="preserve">pro forma </w:t>
      </w:r>
      <w:r w:rsidR="007A262B">
        <w:t>Open Access Transmission Tariff (OATT):  Network Integration Transmission Service (</w:t>
      </w:r>
      <w:r w:rsidR="002E2E9C">
        <w:t>NITS</w:t>
      </w:r>
      <w:r w:rsidR="007A262B">
        <w:t xml:space="preserve">).  </w:t>
      </w:r>
      <w:r w:rsidR="00CF541B">
        <w:t>Like PTP service, N</w:t>
      </w:r>
      <w:r w:rsidR="002E2E9C">
        <w:t>ITS</w:t>
      </w:r>
      <w:r w:rsidR="00CF541B">
        <w:t xml:space="preserve"> users are entitled to rollover their service in accordance with section 2.2 of the OATT.  </w:t>
      </w:r>
      <w:r w:rsidR="00AF4368">
        <w:t xml:space="preserve">As a result, </w:t>
      </w:r>
      <w:r w:rsidR="007615CE">
        <w:t xml:space="preserve">omitting </w:t>
      </w:r>
      <w:r w:rsidR="006234E4">
        <w:t>N</w:t>
      </w:r>
      <w:r w:rsidR="002E2E9C">
        <w:t>ITS</w:t>
      </w:r>
      <w:r w:rsidR="007615CE">
        <w:t xml:space="preserve"> from </w:t>
      </w:r>
      <w:r w:rsidR="006F0F93">
        <w:t>WEQ-001</w:t>
      </w:r>
      <w:r w:rsidR="00CD31B6">
        <w:t>-</w:t>
      </w:r>
      <w:r w:rsidR="006F0F93">
        <w:t>20</w:t>
      </w:r>
      <w:r w:rsidR="007615CE">
        <w:t xml:space="preserve"> “Rollover” renders the standard </w:t>
      </w:r>
      <w:r w:rsidR="006F0F93">
        <w:t>incomplete</w:t>
      </w:r>
      <w:r w:rsidR="00D155D4">
        <w:t xml:space="preserve">, and </w:t>
      </w:r>
      <w:r w:rsidR="006D6DD8">
        <w:t>leaves</w:t>
      </w:r>
      <w:r w:rsidR="00D155D4">
        <w:t xml:space="preserve"> a significant gap in the NAESB national standard </w:t>
      </w:r>
      <w:r w:rsidR="00702B54">
        <w:t xml:space="preserve">that can cause confusion and </w:t>
      </w:r>
      <w:r w:rsidR="00C40F61">
        <w:t xml:space="preserve">uncertainty to </w:t>
      </w:r>
      <w:r w:rsidR="002E2E9C">
        <w:t>T</w:t>
      </w:r>
      <w:r w:rsidR="00C40F61">
        <w:t xml:space="preserve">ransmission </w:t>
      </w:r>
      <w:r w:rsidR="002E2E9C">
        <w:t>C</w:t>
      </w:r>
      <w:r w:rsidR="00C40F61">
        <w:t xml:space="preserve">ustomers and </w:t>
      </w:r>
      <w:r w:rsidR="002E2E9C">
        <w:t>T</w:t>
      </w:r>
      <w:r w:rsidR="00C40F61">
        <w:t xml:space="preserve">ransmission </w:t>
      </w:r>
      <w:r w:rsidR="002E2E9C">
        <w:t>P</w:t>
      </w:r>
      <w:r w:rsidR="00C40F61">
        <w:t>rovider</w:t>
      </w:r>
      <w:r w:rsidR="002E2E9C">
        <w:t>s</w:t>
      </w:r>
      <w:r w:rsidR="009E285A">
        <w:t xml:space="preserve"> when </w:t>
      </w:r>
      <w:r w:rsidR="006234E4">
        <w:t xml:space="preserve">addressing a </w:t>
      </w:r>
      <w:r w:rsidR="009E285A">
        <w:t>N</w:t>
      </w:r>
      <w:r w:rsidR="00DE524C">
        <w:t xml:space="preserve">ITS </w:t>
      </w:r>
      <w:r w:rsidR="006234E4">
        <w:t xml:space="preserve">rollover request. </w:t>
      </w:r>
      <w:r w:rsidR="00F000F3">
        <w:t xml:space="preserve">  For instance, if two competing N</w:t>
      </w:r>
      <w:r w:rsidR="00DE524C">
        <w:t xml:space="preserve">ITS </w:t>
      </w:r>
      <w:r w:rsidR="00F000F3">
        <w:t>requests were made, one for a rollover, and the other for new service, WEQ-001</w:t>
      </w:r>
      <w:r w:rsidR="00CD31B6">
        <w:t>-</w:t>
      </w:r>
      <w:r w:rsidR="00F000F3">
        <w:t xml:space="preserve">20 “Rollover” would provide no guidance </w:t>
      </w:r>
      <w:r w:rsidR="003B172B">
        <w:t xml:space="preserve">as </w:t>
      </w:r>
      <w:r w:rsidR="00F000F3">
        <w:t xml:space="preserve">to </w:t>
      </w:r>
      <w:r w:rsidR="003B172B">
        <w:t xml:space="preserve">how to exercise the rollover rights, in what amounts, or how competition between the two requests </w:t>
      </w:r>
      <w:r w:rsidR="000D7B03">
        <w:t>sh</w:t>
      </w:r>
      <w:r w:rsidR="003B172B">
        <w:t xml:space="preserve">ould be addressed.  </w:t>
      </w:r>
    </w:p>
    <w:p w:rsidR="00F24234" w:rsidRDefault="009815A3">
      <w:r>
        <w:lastRenderedPageBreak/>
        <w:t xml:space="preserve">The absence of </w:t>
      </w:r>
      <w:r w:rsidR="004147C9">
        <w:t xml:space="preserve">any mention of </w:t>
      </w:r>
      <w:r>
        <w:t>N</w:t>
      </w:r>
      <w:r w:rsidR="000D7B03">
        <w:t>ITS</w:t>
      </w:r>
      <w:r>
        <w:t xml:space="preserve"> </w:t>
      </w:r>
      <w:r w:rsidR="00DB180E">
        <w:t>in</w:t>
      </w:r>
      <w:r>
        <w:t xml:space="preserve"> WEQ-001</w:t>
      </w:r>
      <w:r w:rsidR="00CD31B6">
        <w:t>-</w:t>
      </w:r>
      <w:r>
        <w:t xml:space="preserve">20 “Rollover” also creates </w:t>
      </w:r>
      <w:r w:rsidR="004147C9">
        <w:t xml:space="preserve">uncertainty </w:t>
      </w:r>
      <w:r w:rsidR="00275446">
        <w:t>when</w:t>
      </w:r>
      <w:r w:rsidR="004147C9">
        <w:t xml:space="preserve"> competition </w:t>
      </w:r>
      <w:r w:rsidR="00275446">
        <w:t>for</w:t>
      </w:r>
      <w:r w:rsidR="004147C9">
        <w:t xml:space="preserve"> transmission rights </w:t>
      </w:r>
      <w:r w:rsidR="00275446">
        <w:t xml:space="preserve">occurs </w:t>
      </w:r>
      <w:r w:rsidR="004147C9">
        <w:t>between PTP users and N</w:t>
      </w:r>
      <w:r w:rsidR="000D7B03">
        <w:t xml:space="preserve">ITS </w:t>
      </w:r>
      <w:r w:rsidR="004147C9">
        <w:t>users.</w:t>
      </w:r>
      <w:r w:rsidR="00DB180E">
        <w:t xml:space="preserve">  As the </w:t>
      </w:r>
      <w:r w:rsidR="005B5E8E">
        <w:t xml:space="preserve">current </w:t>
      </w:r>
      <w:r w:rsidR="00DB180E">
        <w:t>standard now</w:t>
      </w:r>
      <w:r w:rsidR="00DB180E" w:rsidRPr="00DB180E">
        <w:t xml:space="preserve"> </w:t>
      </w:r>
      <w:r w:rsidR="00DB180E">
        <w:t>reads, three possible conclusions could be drawn from the omission of N</w:t>
      </w:r>
      <w:r w:rsidR="000D7B03">
        <w:t>ITS</w:t>
      </w:r>
      <w:r w:rsidR="00DB180E">
        <w:t xml:space="preserve">:  (1) PTP </w:t>
      </w:r>
      <w:r w:rsidR="000D7B03">
        <w:t>requests</w:t>
      </w:r>
      <w:r w:rsidR="00DB180E">
        <w:t xml:space="preserve"> alway</w:t>
      </w:r>
      <w:r w:rsidR="000D7B03">
        <w:t>s</w:t>
      </w:r>
      <w:r w:rsidR="00DB180E">
        <w:t xml:space="preserve"> prevail in a competition; (2) N</w:t>
      </w:r>
      <w:r w:rsidR="000D7B03">
        <w:t xml:space="preserve">ITS requests </w:t>
      </w:r>
      <w:r w:rsidR="00DB180E">
        <w:t>always prevail in a competition; (3) there is never a competition between the PTP Service and N</w:t>
      </w:r>
      <w:r w:rsidR="000D7B03">
        <w:t>ITS</w:t>
      </w:r>
      <w:r w:rsidR="00DB180E">
        <w:t>.</w:t>
      </w:r>
      <w:r w:rsidR="00A8077D">
        <w:t xml:space="preserve">  All three conclusions, however, are incorrect, as the Commission has expressly acknowledged that N</w:t>
      </w:r>
      <w:r w:rsidR="00283EBA">
        <w:t>ITS</w:t>
      </w:r>
      <w:r w:rsidR="00A8077D">
        <w:t xml:space="preserve"> and PTP service must follow the competition rules, and they both can compete with each other.</w:t>
      </w:r>
      <w:r w:rsidR="00545335">
        <w:t xml:space="preserve">  </w:t>
      </w:r>
      <w:r w:rsidR="00F24234">
        <w:t xml:space="preserve">As noted by the Commission in Order No. 890-A, 73 Fed. Reg. 2984, at P 666 (Jan. 16, 2008):  </w:t>
      </w:r>
    </w:p>
    <w:p w:rsidR="00F24234" w:rsidRDefault="00F24234" w:rsidP="00004324">
      <w:pPr>
        <w:ind w:left="720" w:right="720"/>
        <w:jc w:val="both"/>
      </w:pPr>
      <w:r w:rsidRPr="00F24234">
        <w:t>We reiterate our existing policy that, in the event of competing, mutually exclusive requests for network resource designations, the network customer seeking rollover must match the term of the competing network reso</w:t>
      </w:r>
      <w:r>
        <w:t>urce power contract.</w:t>
      </w:r>
      <w:r w:rsidRPr="00F24234">
        <w:t xml:space="preserve"> However, we agree with TAPS that, given the differing nature and obligations of network service versus point-to-point service, a network customer seeking rollover of its network service for a designated resource should be able to match a competing point-to-point request by extending its network service agreement rather than the power contract supporting the network resource designation.</w:t>
      </w:r>
      <w:r>
        <w:t xml:space="preserve"> </w:t>
      </w:r>
    </w:p>
    <w:p w:rsidR="00492A9F" w:rsidRPr="00004324" w:rsidRDefault="003C37DF">
      <w:pPr>
        <w:rPr>
          <w:b/>
          <w:u w:val="single"/>
        </w:rPr>
      </w:pPr>
      <w:r w:rsidRPr="00004324">
        <w:rPr>
          <w:b/>
          <w:u w:val="single"/>
        </w:rPr>
        <w:t>Comment</w:t>
      </w:r>
    </w:p>
    <w:p w:rsidR="00176958" w:rsidRDefault="006C1E59">
      <w:r>
        <w:t xml:space="preserve">It was because of these </w:t>
      </w:r>
      <w:r w:rsidR="00987ACE">
        <w:t xml:space="preserve">significant omissions with the current standard </w:t>
      </w:r>
      <w:r>
        <w:t xml:space="preserve">that </w:t>
      </w:r>
      <w:r w:rsidR="00CD31B6">
        <w:t xml:space="preserve">the OASIS Subcommittee </w:t>
      </w:r>
      <w:r>
        <w:t xml:space="preserve">spent months working </w:t>
      </w:r>
      <w:r w:rsidR="00275446">
        <w:t>to revise</w:t>
      </w:r>
      <w:r w:rsidR="00CC091C">
        <w:t xml:space="preserve"> WEQ-001</w:t>
      </w:r>
      <w:r w:rsidR="00CD31B6">
        <w:t>-</w:t>
      </w:r>
      <w:r w:rsidR="00CC091C">
        <w:t>20</w:t>
      </w:r>
      <w:r w:rsidR="00275446">
        <w:t xml:space="preserve"> such that i</w:t>
      </w:r>
      <w:r>
        <w:t xml:space="preserve">t </w:t>
      </w:r>
      <w:r w:rsidR="00CC091C">
        <w:t xml:space="preserve">would be </w:t>
      </w:r>
      <w:r>
        <w:t>consistent with the OATT</w:t>
      </w:r>
      <w:r w:rsidR="003C37DF">
        <w:t xml:space="preserve">, </w:t>
      </w:r>
      <w:r>
        <w:t>Commission precedent</w:t>
      </w:r>
      <w:r w:rsidR="003C37DF">
        <w:t>, and best practices in the industry</w:t>
      </w:r>
      <w:r>
        <w:t xml:space="preserve">.  </w:t>
      </w:r>
      <w:r w:rsidR="00987ACE">
        <w:t xml:space="preserve">BPA reiterates its support for the </w:t>
      </w:r>
      <w:r>
        <w:t xml:space="preserve">work that has been done on this standard </w:t>
      </w:r>
      <w:r w:rsidR="00987ACE">
        <w:t xml:space="preserve">and earnestly recommends the </w:t>
      </w:r>
      <w:r w:rsidR="00283EBA">
        <w:t>EC</w:t>
      </w:r>
      <w:r w:rsidR="00987ACE">
        <w:t xml:space="preserve"> reconsider the revised WEQ-001</w:t>
      </w:r>
      <w:r w:rsidR="00CD31B6">
        <w:t>-</w:t>
      </w:r>
      <w:r w:rsidR="00987ACE">
        <w:t xml:space="preserve">20.  </w:t>
      </w:r>
      <w:r w:rsidR="007C25FA">
        <w:t xml:space="preserve">The proposed </w:t>
      </w:r>
      <w:r w:rsidR="00CC091C">
        <w:t xml:space="preserve">revised </w:t>
      </w:r>
      <w:r w:rsidR="007C25FA">
        <w:t>WEQ-001</w:t>
      </w:r>
      <w:r w:rsidR="00CD31B6">
        <w:t>-</w:t>
      </w:r>
      <w:r w:rsidR="007C25FA">
        <w:t xml:space="preserve">20 </w:t>
      </w:r>
      <w:r w:rsidR="00283EBA">
        <w:t>“</w:t>
      </w:r>
      <w:r w:rsidR="007C25FA">
        <w:t>Rollover</w:t>
      </w:r>
      <w:r w:rsidR="00283EBA">
        <w:t>”</w:t>
      </w:r>
      <w:r w:rsidR="007C25FA">
        <w:t xml:space="preserve"> </w:t>
      </w:r>
      <w:r w:rsidR="00CC091C">
        <w:t>has been substantially re</w:t>
      </w:r>
      <w:r w:rsidR="007C25FA">
        <w:t xml:space="preserve">designed to address </w:t>
      </w:r>
      <w:r w:rsidR="00987ACE">
        <w:t>the significant</w:t>
      </w:r>
      <w:r w:rsidR="007C25FA">
        <w:t xml:space="preserve"> gaps in the </w:t>
      </w:r>
      <w:r w:rsidR="00CC091C">
        <w:t xml:space="preserve">prior </w:t>
      </w:r>
      <w:r w:rsidR="007C25FA">
        <w:t>standard</w:t>
      </w:r>
      <w:r w:rsidR="00A65CCD">
        <w:t>, and now comprehensively addresses both the notice and competition requirements for PTP and N</w:t>
      </w:r>
      <w:r w:rsidR="00283EBA">
        <w:t>ITS requests</w:t>
      </w:r>
      <w:r w:rsidR="007C25FA">
        <w:t xml:space="preserve">.  </w:t>
      </w:r>
      <w:r w:rsidR="00CC091C">
        <w:t xml:space="preserve">By adopting it, the revised </w:t>
      </w:r>
      <w:r w:rsidR="007C25FA">
        <w:t>WEQ-001</w:t>
      </w:r>
      <w:r w:rsidR="00CD31B6">
        <w:t>-</w:t>
      </w:r>
      <w:r w:rsidR="007C25FA">
        <w:t xml:space="preserve">20 </w:t>
      </w:r>
      <w:r w:rsidR="00283EBA">
        <w:t>“</w:t>
      </w:r>
      <w:r w:rsidR="007C25FA">
        <w:t>Rollover</w:t>
      </w:r>
      <w:r w:rsidR="00283EBA">
        <w:t>”</w:t>
      </w:r>
      <w:r w:rsidR="00CC091C">
        <w:t xml:space="preserve"> will be</w:t>
      </w:r>
      <w:r w:rsidR="007C25FA">
        <w:t xml:space="preserve"> the model standard for the industry, </w:t>
      </w:r>
      <w:r w:rsidR="001F6327">
        <w:t>providing a</w:t>
      </w:r>
      <w:r w:rsidR="007C25FA">
        <w:t xml:space="preserve"> comprehensive process for addressing </w:t>
      </w:r>
      <w:r w:rsidR="00CC091C">
        <w:t>the most common</w:t>
      </w:r>
      <w:r w:rsidR="007C25FA">
        <w:t xml:space="preserve"> issues with rollover and the right of first refusal for both PTP and N</w:t>
      </w:r>
      <w:r w:rsidR="00B5512B">
        <w:t>ITS</w:t>
      </w:r>
      <w:r w:rsidR="007C25FA">
        <w:t>.</w:t>
      </w:r>
    </w:p>
    <w:p w:rsidR="00B04D5A" w:rsidRDefault="001F6327">
      <w:r w:rsidRPr="00283EBA">
        <w:t>BPA understands that certain parties were concerned</w:t>
      </w:r>
      <w:r w:rsidR="006375A5" w:rsidRPr="00283EBA">
        <w:t xml:space="preserve"> with language in the </w:t>
      </w:r>
      <w:r w:rsidR="00B5512B">
        <w:t xml:space="preserve">proposed </w:t>
      </w:r>
      <w:r w:rsidR="006375A5" w:rsidRPr="00283EBA">
        <w:t>preamble to the WEQ-001</w:t>
      </w:r>
      <w:r w:rsidR="00CD31B6" w:rsidRPr="00703BAD">
        <w:t>-</w:t>
      </w:r>
      <w:r w:rsidR="006375A5" w:rsidRPr="00283EBA">
        <w:t xml:space="preserve">20 </w:t>
      </w:r>
      <w:r w:rsidR="00621C31" w:rsidRPr="00703BAD">
        <w:t xml:space="preserve">recommendation </w:t>
      </w:r>
      <w:r w:rsidR="006375A5" w:rsidRPr="00283EBA">
        <w:t>that required</w:t>
      </w:r>
      <w:r w:rsidR="00621C31" w:rsidRPr="00703BAD">
        <w:t xml:space="preserve"> approval by</w:t>
      </w:r>
      <w:r w:rsidR="008514CE" w:rsidRPr="00703BAD">
        <w:t xml:space="preserve"> the</w:t>
      </w:r>
      <w:r w:rsidR="00621C31" w:rsidRPr="00703BAD">
        <w:t xml:space="preserve"> “Applicable Regulatory Authority” (e.g., FERC)</w:t>
      </w:r>
      <w:r w:rsidR="006375A5" w:rsidRPr="00283EBA">
        <w:t xml:space="preserve"> in order to vary from the terms of the </w:t>
      </w:r>
      <w:r w:rsidR="00621C31" w:rsidRPr="00703BAD">
        <w:t xml:space="preserve">proposed </w:t>
      </w:r>
      <w:r w:rsidR="006375A5" w:rsidRPr="00283EBA">
        <w:t>standard.</w:t>
      </w:r>
      <w:r w:rsidR="006375A5" w:rsidRPr="00666568">
        <w:t xml:space="preserve">  BPA notes</w:t>
      </w:r>
      <w:r w:rsidR="00A3288E" w:rsidRPr="00666568">
        <w:t xml:space="preserve"> that it supported that language in the version of WEQ-001</w:t>
      </w:r>
      <w:r w:rsidR="00CD31B6">
        <w:t>-</w:t>
      </w:r>
      <w:r w:rsidR="00A3288E" w:rsidRPr="00666568">
        <w:t>20</w:t>
      </w:r>
      <w:r w:rsidR="008514CE">
        <w:t xml:space="preserve"> that was </w:t>
      </w:r>
      <w:r w:rsidR="00BF496A">
        <w:t>considered by the 04/26/16 WEQ Executive Committee meeting</w:t>
      </w:r>
      <w:r w:rsidR="00A3288E" w:rsidRPr="00666568">
        <w:t xml:space="preserve"> because </w:t>
      </w:r>
      <w:r w:rsidR="006375A5" w:rsidRPr="00666568">
        <w:t xml:space="preserve">such language </w:t>
      </w:r>
      <w:r w:rsidR="00BF496A">
        <w:t xml:space="preserve">was consistent with </w:t>
      </w:r>
      <w:r w:rsidR="008B6C5B" w:rsidRPr="00666568">
        <w:t>the status quo requirement that a FERC waiver be obtained before deviating from</w:t>
      </w:r>
      <w:r w:rsidR="00A3288E" w:rsidRPr="00666568">
        <w:t xml:space="preserve"> the NAESB standards.  Nevertheless, BPA appreciates the concerns that have been raise</w:t>
      </w:r>
      <w:r w:rsidR="00235D0D" w:rsidRPr="00666568">
        <w:t>d</w:t>
      </w:r>
      <w:r w:rsidR="00B04D5A">
        <w:t xml:space="preserve"> that led to that v</w:t>
      </w:r>
      <w:r w:rsidR="00B5512B">
        <w:t>ersion of the proposed recommendation</w:t>
      </w:r>
      <w:r w:rsidR="00B04D5A">
        <w:t xml:space="preserve"> failing to achieve a super majority vote by the EC notational ballot on 05/16/16.  </w:t>
      </w:r>
    </w:p>
    <w:p w:rsidR="00987ACE" w:rsidRDefault="00B04D5A">
      <w:r>
        <w:t xml:space="preserve">In an effort </w:t>
      </w:r>
      <w:r w:rsidR="00467D98">
        <w:t>to move the industry towards increased transparency and consistency on this topic</w:t>
      </w:r>
      <w:r w:rsidR="00235D0D" w:rsidRPr="00666568">
        <w:t xml:space="preserve">, </w:t>
      </w:r>
      <w:r w:rsidR="00467D98">
        <w:t>BPA</w:t>
      </w:r>
      <w:r w:rsidR="00B5512B">
        <w:t xml:space="preserve"> </w:t>
      </w:r>
      <w:r w:rsidR="00235D0D" w:rsidRPr="00666568">
        <w:t>is willing to support language that would make the WEQ-001</w:t>
      </w:r>
      <w:r w:rsidR="00CD31B6">
        <w:t>-</w:t>
      </w:r>
      <w:r w:rsidR="00235D0D" w:rsidRPr="00666568">
        <w:t>20</w:t>
      </w:r>
      <w:r w:rsidR="00B5512B">
        <w:t xml:space="preserve"> “Rollover”</w:t>
      </w:r>
      <w:r w:rsidR="00235D0D" w:rsidRPr="00666568">
        <w:t xml:space="preserve"> the standard </w:t>
      </w:r>
      <w:r w:rsidR="00235D0D" w:rsidRPr="00492A9F">
        <w:rPr>
          <w:i/>
        </w:rPr>
        <w:t>only if</w:t>
      </w:r>
      <w:r w:rsidR="00235D0D" w:rsidRPr="00703BAD">
        <w:t xml:space="preserve"> </w:t>
      </w:r>
      <w:r w:rsidR="00235D0D" w:rsidRPr="00666568">
        <w:t xml:space="preserve">the </w:t>
      </w:r>
      <w:r w:rsidR="00AA691E">
        <w:t>T</w:t>
      </w:r>
      <w:r w:rsidR="00235D0D" w:rsidRPr="00666568">
        <w:t xml:space="preserve">ransmission </w:t>
      </w:r>
      <w:r w:rsidR="00AA691E">
        <w:t>P</w:t>
      </w:r>
      <w:r w:rsidR="00235D0D" w:rsidRPr="00666568">
        <w:t>rovider has not otherwise adopted its own process for addressing N</w:t>
      </w:r>
      <w:r w:rsidR="00AA691E">
        <w:t>ITS</w:t>
      </w:r>
      <w:r w:rsidR="00235D0D" w:rsidRPr="00666568">
        <w:t xml:space="preserve"> and PTP rollover rights.</w:t>
      </w:r>
      <w:r w:rsidR="008B6C5B" w:rsidRPr="00666568">
        <w:t xml:space="preserve">  Transmission </w:t>
      </w:r>
      <w:r w:rsidR="00AA691E">
        <w:t>P</w:t>
      </w:r>
      <w:r w:rsidR="008B6C5B" w:rsidRPr="00666568">
        <w:t xml:space="preserve">roviders that have </w:t>
      </w:r>
      <w:r w:rsidR="00C902CB" w:rsidRPr="00666568">
        <w:t>developed a customized process for evaluating N</w:t>
      </w:r>
      <w:r w:rsidR="00AA691E">
        <w:t>ITS</w:t>
      </w:r>
      <w:r w:rsidR="00C902CB" w:rsidRPr="00666568">
        <w:t xml:space="preserve"> and PTP </w:t>
      </w:r>
      <w:r w:rsidR="00C902CB" w:rsidRPr="00666568">
        <w:lastRenderedPageBreak/>
        <w:t>rollover right requests</w:t>
      </w:r>
      <w:r w:rsidR="00115F7A" w:rsidRPr="00666568">
        <w:t>,</w:t>
      </w:r>
      <w:r w:rsidR="00C902CB" w:rsidRPr="00666568">
        <w:t xml:space="preserve"> and have gone through the effort of developing </w:t>
      </w:r>
      <w:r w:rsidR="003B34AE" w:rsidRPr="00666568">
        <w:t xml:space="preserve">a </w:t>
      </w:r>
      <w:r w:rsidR="00AA691E">
        <w:t>B</w:t>
      </w:r>
      <w:r w:rsidR="003B34AE" w:rsidRPr="00666568">
        <w:t xml:space="preserve">usiness </w:t>
      </w:r>
      <w:r w:rsidR="00AA691E">
        <w:t>P</w:t>
      </w:r>
      <w:r w:rsidR="003B34AE" w:rsidRPr="00666568">
        <w:t>ractice or Tariff amendmen</w:t>
      </w:r>
      <w:r w:rsidR="004020B7" w:rsidRPr="00666568">
        <w:t xml:space="preserve">t </w:t>
      </w:r>
      <w:r w:rsidR="00C902CB" w:rsidRPr="00666568">
        <w:t xml:space="preserve">to </w:t>
      </w:r>
      <w:r w:rsidR="00115F7A" w:rsidRPr="00666568">
        <w:t xml:space="preserve">put it in place, should be able to continue to use their own </w:t>
      </w:r>
      <w:r w:rsidR="00AD14DB" w:rsidRPr="00666568">
        <w:t xml:space="preserve">processes without further regulatory </w:t>
      </w:r>
      <w:r w:rsidR="00AA691E">
        <w:t xml:space="preserve">review or </w:t>
      </w:r>
      <w:r w:rsidR="00AD14DB" w:rsidRPr="00666568">
        <w:t>action.  The</w:t>
      </w:r>
      <w:r w:rsidR="00B17E14" w:rsidRPr="00666568">
        <w:t xml:space="preserve"> </w:t>
      </w:r>
      <w:r w:rsidR="00492A9F">
        <w:t xml:space="preserve">primary </w:t>
      </w:r>
      <w:r w:rsidR="00115F7A" w:rsidRPr="00666568">
        <w:t>purpose of the</w:t>
      </w:r>
      <w:r w:rsidR="00B17E14" w:rsidRPr="00666568">
        <w:t xml:space="preserve"> revised </w:t>
      </w:r>
      <w:r w:rsidR="00AD14DB" w:rsidRPr="00666568">
        <w:t>WEQ-001</w:t>
      </w:r>
      <w:r w:rsidR="00CD31B6">
        <w:t>-</w:t>
      </w:r>
      <w:r w:rsidR="00AD14DB" w:rsidRPr="00666568">
        <w:t>20 “Rollover” standard</w:t>
      </w:r>
      <w:r w:rsidR="00B17E14" w:rsidRPr="00666568">
        <w:t>, in BPA’s view,</w:t>
      </w:r>
      <w:r w:rsidR="00AD14DB" w:rsidRPr="00666568">
        <w:t xml:space="preserve"> </w:t>
      </w:r>
      <w:r w:rsidR="00115F7A" w:rsidRPr="00666568">
        <w:t>is</w:t>
      </w:r>
      <w:r w:rsidR="00AD14DB" w:rsidRPr="00666568">
        <w:t xml:space="preserve"> to provide </w:t>
      </w:r>
      <w:r w:rsidR="00115F7A" w:rsidRPr="00666568">
        <w:t xml:space="preserve">a “default” national standard </w:t>
      </w:r>
      <w:r w:rsidR="00AD14DB" w:rsidRPr="00666568">
        <w:t xml:space="preserve">in situations where the </w:t>
      </w:r>
      <w:r w:rsidR="00AA691E">
        <w:t>T</w:t>
      </w:r>
      <w:r w:rsidR="00AD14DB" w:rsidRPr="00666568">
        <w:t xml:space="preserve">ransmission </w:t>
      </w:r>
      <w:r w:rsidR="00AA691E">
        <w:t>P</w:t>
      </w:r>
      <w:r w:rsidR="00AD14DB" w:rsidRPr="00666568">
        <w:t xml:space="preserve">rovider has </w:t>
      </w:r>
      <w:r w:rsidR="00666568" w:rsidRPr="00666568">
        <w:t xml:space="preserve">otherwise </w:t>
      </w:r>
      <w:r w:rsidR="00AD14DB" w:rsidRPr="00666568">
        <w:t xml:space="preserve">taken no steps to </w:t>
      </w:r>
      <w:r w:rsidR="00666568" w:rsidRPr="00666568">
        <w:t xml:space="preserve">describe and formalize its </w:t>
      </w:r>
      <w:r w:rsidR="00AD14DB" w:rsidRPr="00666568">
        <w:t>process for rolling over</w:t>
      </w:r>
      <w:r w:rsidR="00666568" w:rsidRPr="00666568">
        <w:t xml:space="preserve"> and competing</w:t>
      </w:r>
      <w:r w:rsidR="003B34AE" w:rsidRPr="00666568">
        <w:t xml:space="preserve"> PTP or N</w:t>
      </w:r>
      <w:r w:rsidR="00AA691E">
        <w:t xml:space="preserve">ITS </w:t>
      </w:r>
      <w:r w:rsidR="00666568" w:rsidRPr="00666568">
        <w:t>requests</w:t>
      </w:r>
      <w:r w:rsidR="003B34AE" w:rsidRPr="00666568">
        <w:t>.</w:t>
      </w:r>
      <w:r w:rsidR="003B34AE">
        <w:t xml:space="preserve">  </w:t>
      </w:r>
      <w:r w:rsidR="00AD14DB">
        <w:t xml:space="preserve"> </w:t>
      </w:r>
      <w:r w:rsidR="00235D0D">
        <w:t xml:space="preserve">  </w:t>
      </w:r>
      <w:r w:rsidR="00A3288E">
        <w:t xml:space="preserve"> </w:t>
      </w:r>
    </w:p>
    <w:p w:rsidR="00DD229E" w:rsidRDefault="00DD229E" w:rsidP="00DD229E">
      <w:r>
        <w:t xml:space="preserve">In summary, BPA </w:t>
      </w:r>
      <w:r w:rsidR="00BA3C38">
        <w:t xml:space="preserve">would like to </w:t>
      </w:r>
      <w:r>
        <w:t xml:space="preserve">thank the WEQ Executive Committee for </w:t>
      </w:r>
      <w:r w:rsidR="00BA6280">
        <w:t>reconsidering the recommendation for Long-Term Firm Rollover Rights Competition</w:t>
      </w:r>
      <w:r w:rsidR="00AA691E">
        <w:t xml:space="preserve">. </w:t>
      </w:r>
      <w:r w:rsidR="00BA6280">
        <w:t xml:space="preserve"> </w:t>
      </w:r>
      <w:r>
        <w:t xml:space="preserve">For the reasons stated above, BPA encourages members of the </w:t>
      </w:r>
      <w:r w:rsidR="00BA6280">
        <w:t xml:space="preserve">WEQ </w:t>
      </w:r>
      <w:r>
        <w:t>E</w:t>
      </w:r>
      <w:r w:rsidR="00AA691E">
        <w:t>C</w:t>
      </w:r>
      <w:r>
        <w:t xml:space="preserve"> to support the </w:t>
      </w:r>
      <w:r w:rsidR="00AA691E">
        <w:t xml:space="preserve">newly </w:t>
      </w:r>
      <w:r w:rsidR="00BA6280">
        <w:t xml:space="preserve">proposed </w:t>
      </w:r>
      <w:r w:rsidR="00AA691E">
        <w:t>recommendation</w:t>
      </w:r>
      <w:r w:rsidR="00BA6280">
        <w:t xml:space="preserve"> for</w:t>
      </w:r>
      <w:r>
        <w:t xml:space="preserve"> WEQ-001</w:t>
      </w:r>
      <w:r w:rsidR="00CD31B6">
        <w:t>-</w:t>
      </w:r>
      <w:r>
        <w:t>20</w:t>
      </w:r>
      <w:r w:rsidR="00AA691E">
        <w:t xml:space="preserve"> “Rollover”.</w:t>
      </w:r>
    </w:p>
    <w:p w:rsidR="00BE4040" w:rsidRDefault="00BE4040"/>
    <w:p w:rsidR="00BE4040" w:rsidRDefault="00BE4040"/>
    <w:p w:rsidR="004575DB" w:rsidRDefault="004575DB" w:rsidP="00666568">
      <w:bookmarkStart w:id="0" w:name="_GoBack"/>
      <w:bookmarkEnd w:id="0"/>
    </w:p>
    <w:sectPr w:rsidR="004575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4E4" w:rsidRDefault="00CC44E4" w:rsidP="007C3B5B">
      <w:pPr>
        <w:spacing w:after="0" w:line="240" w:lineRule="auto"/>
      </w:pPr>
      <w:r>
        <w:separator/>
      </w:r>
    </w:p>
  </w:endnote>
  <w:endnote w:type="continuationSeparator" w:id="0">
    <w:p w:rsidR="00CC44E4" w:rsidRDefault="00CC44E4" w:rsidP="007C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657381"/>
      <w:docPartObj>
        <w:docPartGallery w:val="Page Numbers (Bottom of Page)"/>
        <w:docPartUnique/>
      </w:docPartObj>
    </w:sdtPr>
    <w:sdtEndPr>
      <w:rPr>
        <w:noProof/>
      </w:rPr>
    </w:sdtEndPr>
    <w:sdtContent>
      <w:p w:rsidR="00143D36" w:rsidRDefault="00143D36">
        <w:pPr>
          <w:pStyle w:val="Footer"/>
          <w:jc w:val="right"/>
        </w:pPr>
        <w:r>
          <w:fldChar w:fldCharType="begin"/>
        </w:r>
        <w:r>
          <w:instrText xml:space="preserve"> PAGE   \* MERGEFORMAT </w:instrText>
        </w:r>
        <w:r>
          <w:fldChar w:fldCharType="separate"/>
        </w:r>
        <w:r w:rsidR="006139B7">
          <w:rPr>
            <w:noProof/>
          </w:rPr>
          <w:t>1</w:t>
        </w:r>
        <w:r>
          <w:rPr>
            <w:noProof/>
          </w:rPr>
          <w:fldChar w:fldCharType="end"/>
        </w:r>
      </w:p>
    </w:sdtContent>
  </w:sdt>
  <w:p w:rsidR="007C3B5B" w:rsidRDefault="007C3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4E4" w:rsidRDefault="00CC44E4" w:rsidP="007C3B5B">
      <w:pPr>
        <w:spacing w:after="0" w:line="240" w:lineRule="auto"/>
      </w:pPr>
      <w:r>
        <w:separator/>
      </w:r>
    </w:p>
  </w:footnote>
  <w:footnote w:type="continuationSeparator" w:id="0">
    <w:p w:rsidR="00CC44E4" w:rsidRDefault="00CC44E4" w:rsidP="007C3B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CC8"/>
    <w:multiLevelType w:val="hybridMultilevel"/>
    <w:tmpl w:val="50AC4E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AD6DF0"/>
    <w:multiLevelType w:val="hybridMultilevel"/>
    <w:tmpl w:val="753AB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314BF"/>
    <w:multiLevelType w:val="hybridMultilevel"/>
    <w:tmpl w:val="BAA4C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43A39"/>
    <w:multiLevelType w:val="hybridMultilevel"/>
    <w:tmpl w:val="4D2296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6523204"/>
    <w:multiLevelType w:val="hybridMultilevel"/>
    <w:tmpl w:val="06F07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63652"/>
    <w:multiLevelType w:val="hybridMultilevel"/>
    <w:tmpl w:val="5B60FB9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48F5DED"/>
    <w:multiLevelType w:val="hybridMultilevel"/>
    <w:tmpl w:val="0C8231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A163BE2"/>
    <w:multiLevelType w:val="hybridMultilevel"/>
    <w:tmpl w:val="14486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A1771"/>
    <w:multiLevelType w:val="hybridMultilevel"/>
    <w:tmpl w:val="03AE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D71DAF"/>
    <w:multiLevelType w:val="hybridMultilevel"/>
    <w:tmpl w:val="08C27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8"/>
  </w:num>
  <w:num w:numId="6">
    <w:abstractNumId w:val="7"/>
  </w:num>
  <w:num w:numId="7">
    <w:abstractNumId w:val="9"/>
  </w:num>
  <w:num w:numId="8">
    <w:abstractNumId w:val="5"/>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6A"/>
    <w:rsid w:val="00004324"/>
    <w:rsid w:val="00017733"/>
    <w:rsid w:val="000321D9"/>
    <w:rsid w:val="00034349"/>
    <w:rsid w:val="0003575F"/>
    <w:rsid w:val="000560FE"/>
    <w:rsid w:val="000649BF"/>
    <w:rsid w:val="00076A73"/>
    <w:rsid w:val="00083CAD"/>
    <w:rsid w:val="00091582"/>
    <w:rsid w:val="000961DA"/>
    <w:rsid w:val="000A3208"/>
    <w:rsid w:val="000B1433"/>
    <w:rsid w:val="000D7B03"/>
    <w:rsid w:val="000F3DDA"/>
    <w:rsid w:val="00105943"/>
    <w:rsid w:val="00115F7A"/>
    <w:rsid w:val="00122E02"/>
    <w:rsid w:val="0012334D"/>
    <w:rsid w:val="00127A6F"/>
    <w:rsid w:val="00143D36"/>
    <w:rsid w:val="0015216D"/>
    <w:rsid w:val="001564D5"/>
    <w:rsid w:val="00164ED1"/>
    <w:rsid w:val="00170C96"/>
    <w:rsid w:val="00170E6A"/>
    <w:rsid w:val="00176958"/>
    <w:rsid w:val="00183AB9"/>
    <w:rsid w:val="001B325D"/>
    <w:rsid w:val="001B5C45"/>
    <w:rsid w:val="001B6963"/>
    <w:rsid w:val="001F6327"/>
    <w:rsid w:val="002005C5"/>
    <w:rsid w:val="00212AFE"/>
    <w:rsid w:val="00216C94"/>
    <w:rsid w:val="00220AF4"/>
    <w:rsid w:val="00226B4E"/>
    <w:rsid w:val="00235D0D"/>
    <w:rsid w:val="00244896"/>
    <w:rsid w:val="002450A1"/>
    <w:rsid w:val="00246500"/>
    <w:rsid w:val="00246934"/>
    <w:rsid w:val="00257784"/>
    <w:rsid w:val="00270ED0"/>
    <w:rsid w:val="00275446"/>
    <w:rsid w:val="002774C7"/>
    <w:rsid w:val="00283C82"/>
    <w:rsid w:val="00283EBA"/>
    <w:rsid w:val="00287E3E"/>
    <w:rsid w:val="00297319"/>
    <w:rsid w:val="002B16C7"/>
    <w:rsid w:val="002C63D9"/>
    <w:rsid w:val="002D01CC"/>
    <w:rsid w:val="002E2253"/>
    <w:rsid w:val="002E2E9C"/>
    <w:rsid w:val="002F104D"/>
    <w:rsid w:val="002F6DE4"/>
    <w:rsid w:val="00301A90"/>
    <w:rsid w:val="00305123"/>
    <w:rsid w:val="00350069"/>
    <w:rsid w:val="0036723E"/>
    <w:rsid w:val="0037175B"/>
    <w:rsid w:val="003776F1"/>
    <w:rsid w:val="00386921"/>
    <w:rsid w:val="003A4CCE"/>
    <w:rsid w:val="003A50EB"/>
    <w:rsid w:val="003B172B"/>
    <w:rsid w:val="003B34AE"/>
    <w:rsid w:val="003B7E70"/>
    <w:rsid w:val="003C37DF"/>
    <w:rsid w:val="003E1655"/>
    <w:rsid w:val="003E6F7D"/>
    <w:rsid w:val="004020B7"/>
    <w:rsid w:val="004023F7"/>
    <w:rsid w:val="00403D28"/>
    <w:rsid w:val="004147C9"/>
    <w:rsid w:val="004226E5"/>
    <w:rsid w:val="00432E81"/>
    <w:rsid w:val="00436EE4"/>
    <w:rsid w:val="00436F32"/>
    <w:rsid w:val="00443892"/>
    <w:rsid w:val="00445FEC"/>
    <w:rsid w:val="004470DD"/>
    <w:rsid w:val="004575DB"/>
    <w:rsid w:val="004623BF"/>
    <w:rsid w:val="00467D98"/>
    <w:rsid w:val="00472D3D"/>
    <w:rsid w:val="0047735D"/>
    <w:rsid w:val="00492A9F"/>
    <w:rsid w:val="00492D0A"/>
    <w:rsid w:val="00495238"/>
    <w:rsid w:val="004A6B1B"/>
    <w:rsid w:val="004B1277"/>
    <w:rsid w:val="004D1393"/>
    <w:rsid w:val="004D2B20"/>
    <w:rsid w:val="004D614E"/>
    <w:rsid w:val="005076D6"/>
    <w:rsid w:val="0051526E"/>
    <w:rsid w:val="0051556C"/>
    <w:rsid w:val="00517E53"/>
    <w:rsid w:val="00537793"/>
    <w:rsid w:val="00543B1A"/>
    <w:rsid w:val="00545335"/>
    <w:rsid w:val="00556C0B"/>
    <w:rsid w:val="00572B7A"/>
    <w:rsid w:val="00573291"/>
    <w:rsid w:val="00573786"/>
    <w:rsid w:val="005B5E8E"/>
    <w:rsid w:val="005C3033"/>
    <w:rsid w:val="005D1422"/>
    <w:rsid w:val="005E2761"/>
    <w:rsid w:val="005F040C"/>
    <w:rsid w:val="005F41E2"/>
    <w:rsid w:val="005F5FFF"/>
    <w:rsid w:val="00603625"/>
    <w:rsid w:val="00607260"/>
    <w:rsid w:val="00607BF3"/>
    <w:rsid w:val="006111F7"/>
    <w:rsid w:val="0061186F"/>
    <w:rsid w:val="006139B7"/>
    <w:rsid w:val="00621C31"/>
    <w:rsid w:val="00622B82"/>
    <w:rsid w:val="006234E4"/>
    <w:rsid w:val="00624626"/>
    <w:rsid w:val="00625AC1"/>
    <w:rsid w:val="006375A5"/>
    <w:rsid w:val="00640C58"/>
    <w:rsid w:val="0065424A"/>
    <w:rsid w:val="0066322A"/>
    <w:rsid w:val="00664D41"/>
    <w:rsid w:val="006652BC"/>
    <w:rsid w:val="00665778"/>
    <w:rsid w:val="00666568"/>
    <w:rsid w:val="00681EDF"/>
    <w:rsid w:val="006861FD"/>
    <w:rsid w:val="00690288"/>
    <w:rsid w:val="00692350"/>
    <w:rsid w:val="006A2A3C"/>
    <w:rsid w:val="006A4827"/>
    <w:rsid w:val="006B748B"/>
    <w:rsid w:val="006C1E59"/>
    <w:rsid w:val="006C2FBA"/>
    <w:rsid w:val="006C7D8C"/>
    <w:rsid w:val="006D17A2"/>
    <w:rsid w:val="006D68A3"/>
    <w:rsid w:val="006D6DD8"/>
    <w:rsid w:val="006E431B"/>
    <w:rsid w:val="006F0F93"/>
    <w:rsid w:val="00702B54"/>
    <w:rsid w:val="00703BAD"/>
    <w:rsid w:val="0072680E"/>
    <w:rsid w:val="0073011B"/>
    <w:rsid w:val="00754446"/>
    <w:rsid w:val="00755B1F"/>
    <w:rsid w:val="007615CE"/>
    <w:rsid w:val="0079712C"/>
    <w:rsid w:val="007A262B"/>
    <w:rsid w:val="007A39B8"/>
    <w:rsid w:val="007A7F04"/>
    <w:rsid w:val="007C25FA"/>
    <w:rsid w:val="007C3B5B"/>
    <w:rsid w:val="007C46A2"/>
    <w:rsid w:val="007D2742"/>
    <w:rsid w:val="00800840"/>
    <w:rsid w:val="00814E26"/>
    <w:rsid w:val="008219F2"/>
    <w:rsid w:val="00847948"/>
    <w:rsid w:val="00847C5E"/>
    <w:rsid w:val="008514CE"/>
    <w:rsid w:val="0086091B"/>
    <w:rsid w:val="0086228F"/>
    <w:rsid w:val="00871230"/>
    <w:rsid w:val="0088052F"/>
    <w:rsid w:val="0088620D"/>
    <w:rsid w:val="008B6C5B"/>
    <w:rsid w:val="008C4EA8"/>
    <w:rsid w:val="008C6F3D"/>
    <w:rsid w:val="008D26EC"/>
    <w:rsid w:val="008E4C15"/>
    <w:rsid w:val="00905B53"/>
    <w:rsid w:val="009170A6"/>
    <w:rsid w:val="009176C3"/>
    <w:rsid w:val="00922012"/>
    <w:rsid w:val="00925916"/>
    <w:rsid w:val="009278FF"/>
    <w:rsid w:val="00935FD5"/>
    <w:rsid w:val="009365EC"/>
    <w:rsid w:val="00952ECB"/>
    <w:rsid w:val="00956B96"/>
    <w:rsid w:val="0096089E"/>
    <w:rsid w:val="00962A99"/>
    <w:rsid w:val="00977EF3"/>
    <w:rsid w:val="0098100C"/>
    <w:rsid w:val="009815A3"/>
    <w:rsid w:val="00987ACE"/>
    <w:rsid w:val="009A2DF2"/>
    <w:rsid w:val="009A3E67"/>
    <w:rsid w:val="009B0A16"/>
    <w:rsid w:val="009B14BC"/>
    <w:rsid w:val="009B17F0"/>
    <w:rsid w:val="009B5960"/>
    <w:rsid w:val="009D41BB"/>
    <w:rsid w:val="009E285A"/>
    <w:rsid w:val="009E2ACC"/>
    <w:rsid w:val="009E5FF9"/>
    <w:rsid w:val="009F2092"/>
    <w:rsid w:val="00A02AF0"/>
    <w:rsid w:val="00A110EA"/>
    <w:rsid w:val="00A11820"/>
    <w:rsid w:val="00A15859"/>
    <w:rsid w:val="00A3288E"/>
    <w:rsid w:val="00A406AD"/>
    <w:rsid w:val="00A50E33"/>
    <w:rsid w:val="00A54ACD"/>
    <w:rsid w:val="00A65CCD"/>
    <w:rsid w:val="00A8077D"/>
    <w:rsid w:val="00A82FE6"/>
    <w:rsid w:val="00A96B26"/>
    <w:rsid w:val="00AA57B3"/>
    <w:rsid w:val="00AA691E"/>
    <w:rsid w:val="00AA7181"/>
    <w:rsid w:val="00AA7A86"/>
    <w:rsid w:val="00AD14DB"/>
    <w:rsid w:val="00AE07A0"/>
    <w:rsid w:val="00AE1BEB"/>
    <w:rsid w:val="00AF4368"/>
    <w:rsid w:val="00AF7022"/>
    <w:rsid w:val="00B0071C"/>
    <w:rsid w:val="00B04D5A"/>
    <w:rsid w:val="00B07088"/>
    <w:rsid w:val="00B12BEC"/>
    <w:rsid w:val="00B17E14"/>
    <w:rsid w:val="00B365D1"/>
    <w:rsid w:val="00B5512B"/>
    <w:rsid w:val="00B57548"/>
    <w:rsid w:val="00B63D5A"/>
    <w:rsid w:val="00B6444C"/>
    <w:rsid w:val="00B93381"/>
    <w:rsid w:val="00BA10E7"/>
    <w:rsid w:val="00BA3C38"/>
    <w:rsid w:val="00BA6280"/>
    <w:rsid w:val="00BC24BF"/>
    <w:rsid w:val="00BC3470"/>
    <w:rsid w:val="00BC4BC7"/>
    <w:rsid w:val="00BE4040"/>
    <w:rsid w:val="00BF496A"/>
    <w:rsid w:val="00C12BD2"/>
    <w:rsid w:val="00C169B3"/>
    <w:rsid w:val="00C16A45"/>
    <w:rsid w:val="00C177E5"/>
    <w:rsid w:val="00C22337"/>
    <w:rsid w:val="00C40F61"/>
    <w:rsid w:val="00C44E86"/>
    <w:rsid w:val="00C51EA1"/>
    <w:rsid w:val="00C6507F"/>
    <w:rsid w:val="00C8514B"/>
    <w:rsid w:val="00C902CB"/>
    <w:rsid w:val="00C9748D"/>
    <w:rsid w:val="00CA3E33"/>
    <w:rsid w:val="00CC091C"/>
    <w:rsid w:val="00CC3D52"/>
    <w:rsid w:val="00CC44E4"/>
    <w:rsid w:val="00CD230C"/>
    <w:rsid w:val="00CD31B6"/>
    <w:rsid w:val="00CD3775"/>
    <w:rsid w:val="00CD50A0"/>
    <w:rsid w:val="00CF16E0"/>
    <w:rsid w:val="00CF468B"/>
    <w:rsid w:val="00CF541B"/>
    <w:rsid w:val="00CF6E59"/>
    <w:rsid w:val="00D0121A"/>
    <w:rsid w:val="00D155D4"/>
    <w:rsid w:val="00D16264"/>
    <w:rsid w:val="00D32E51"/>
    <w:rsid w:val="00D41D6D"/>
    <w:rsid w:val="00D61887"/>
    <w:rsid w:val="00D82E77"/>
    <w:rsid w:val="00D90F92"/>
    <w:rsid w:val="00D93DC8"/>
    <w:rsid w:val="00DB180E"/>
    <w:rsid w:val="00DB3A9F"/>
    <w:rsid w:val="00DD229E"/>
    <w:rsid w:val="00DD2BF9"/>
    <w:rsid w:val="00DD552D"/>
    <w:rsid w:val="00DE524C"/>
    <w:rsid w:val="00DE6035"/>
    <w:rsid w:val="00DF12EA"/>
    <w:rsid w:val="00DF599E"/>
    <w:rsid w:val="00E306D9"/>
    <w:rsid w:val="00E30FA4"/>
    <w:rsid w:val="00E431E0"/>
    <w:rsid w:val="00E52024"/>
    <w:rsid w:val="00E83861"/>
    <w:rsid w:val="00E85F1C"/>
    <w:rsid w:val="00E90028"/>
    <w:rsid w:val="00EB1259"/>
    <w:rsid w:val="00EB7CC8"/>
    <w:rsid w:val="00EC4544"/>
    <w:rsid w:val="00EC4BF2"/>
    <w:rsid w:val="00ED2D8B"/>
    <w:rsid w:val="00ED2EC8"/>
    <w:rsid w:val="00EE3D59"/>
    <w:rsid w:val="00F000F3"/>
    <w:rsid w:val="00F03E7F"/>
    <w:rsid w:val="00F16C38"/>
    <w:rsid w:val="00F17CB5"/>
    <w:rsid w:val="00F24234"/>
    <w:rsid w:val="00F307D8"/>
    <w:rsid w:val="00F36A58"/>
    <w:rsid w:val="00F46507"/>
    <w:rsid w:val="00F67AEE"/>
    <w:rsid w:val="00F82E52"/>
    <w:rsid w:val="00F94304"/>
    <w:rsid w:val="00FB10ED"/>
    <w:rsid w:val="00FD6D0B"/>
    <w:rsid w:val="00FE08C6"/>
    <w:rsid w:val="00FE20D1"/>
    <w:rsid w:val="00FE5C6B"/>
    <w:rsid w:val="00FF5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E6A"/>
    <w:rPr>
      <w:rFonts w:ascii="Tahoma" w:hAnsi="Tahoma" w:cs="Tahoma"/>
      <w:sz w:val="16"/>
      <w:szCs w:val="16"/>
    </w:rPr>
  </w:style>
  <w:style w:type="paragraph" w:styleId="ListParagraph">
    <w:name w:val="List Paragraph"/>
    <w:basedOn w:val="Normal"/>
    <w:uiPriority w:val="34"/>
    <w:qFormat/>
    <w:rsid w:val="00B63D5A"/>
    <w:pPr>
      <w:ind w:left="720"/>
      <w:contextualSpacing/>
    </w:pPr>
  </w:style>
  <w:style w:type="paragraph" w:styleId="Header">
    <w:name w:val="header"/>
    <w:basedOn w:val="Normal"/>
    <w:link w:val="HeaderChar"/>
    <w:uiPriority w:val="99"/>
    <w:unhideWhenUsed/>
    <w:rsid w:val="007C3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B5B"/>
  </w:style>
  <w:style w:type="paragraph" w:styleId="Footer">
    <w:name w:val="footer"/>
    <w:basedOn w:val="Normal"/>
    <w:link w:val="FooterChar"/>
    <w:uiPriority w:val="99"/>
    <w:unhideWhenUsed/>
    <w:rsid w:val="007C3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B5B"/>
  </w:style>
  <w:style w:type="character" w:styleId="CommentReference">
    <w:name w:val="annotation reference"/>
    <w:basedOn w:val="DefaultParagraphFont"/>
    <w:uiPriority w:val="99"/>
    <w:semiHidden/>
    <w:unhideWhenUsed/>
    <w:rsid w:val="00170C96"/>
    <w:rPr>
      <w:sz w:val="16"/>
      <w:szCs w:val="16"/>
    </w:rPr>
  </w:style>
  <w:style w:type="paragraph" w:styleId="CommentText">
    <w:name w:val="annotation text"/>
    <w:basedOn w:val="Normal"/>
    <w:link w:val="CommentTextChar"/>
    <w:uiPriority w:val="99"/>
    <w:semiHidden/>
    <w:unhideWhenUsed/>
    <w:rsid w:val="00170C96"/>
    <w:pPr>
      <w:spacing w:line="240" w:lineRule="auto"/>
    </w:pPr>
    <w:rPr>
      <w:sz w:val="20"/>
      <w:szCs w:val="20"/>
    </w:rPr>
  </w:style>
  <w:style w:type="character" w:customStyle="1" w:styleId="CommentTextChar">
    <w:name w:val="Comment Text Char"/>
    <w:basedOn w:val="DefaultParagraphFont"/>
    <w:link w:val="CommentText"/>
    <w:uiPriority w:val="99"/>
    <w:semiHidden/>
    <w:rsid w:val="00170C96"/>
    <w:rPr>
      <w:sz w:val="20"/>
      <w:szCs w:val="20"/>
    </w:rPr>
  </w:style>
  <w:style w:type="paragraph" w:styleId="CommentSubject">
    <w:name w:val="annotation subject"/>
    <w:basedOn w:val="CommentText"/>
    <w:next w:val="CommentText"/>
    <w:link w:val="CommentSubjectChar"/>
    <w:uiPriority w:val="99"/>
    <w:semiHidden/>
    <w:unhideWhenUsed/>
    <w:rsid w:val="00170C96"/>
    <w:rPr>
      <w:b/>
      <w:bCs/>
    </w:rPr>
  </w:style>
  <w:style w:type="character" w:customStyle="1" w:styleId="CommentSubjectChar">
    <w:name w:val="Comment Subject Char"/>
    <w:basedOn w:val="CommentTextChar"/>
    <w:link w:val="CommentSubject"/>
    <w:uiPriority w:val="99"/>
    <w:semiHidden/>
    <w:rsid w:val="00170C9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E6A"/>
    <w:rPr>
      <w:rFonts w:ascii="Tahoma" w:hAnsi="Tahoma" w:cs="Tahoma"/>
      <w:sz w:val="16"/>
      <w:szCs w:val="16"/>
    </w:rPr>
  </w:style>
  <w:style w:type="paragraph" w:styleId="ListParagraph">
    <w:name w:val="List Paragraph"/>
    <w:basedOn w:val="Normal"/>
    <w:uiPriority w:val="34"/>
    <w:qFormat/>
    <w:rsid w:val="00B63D5A"/>
    <w:pPr>
      <w:ind w:left="720"/>
      <w:contextualSpacing/>
    </w:pPr>
  </w:style>
  <w:style w:type="paragraph" w:styleId="Header">
    <w:name w:val="header"/>
    <w:basedOn w:val="Normal"/>
    <w:link w:val="HeaderChar"/>
    <w:uiPriority w:val="99"/>
    <w:unhideWhenUsed/>
    <w:rsid w:val="007C3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B5B"/>
  </w:style>
  <w:style w:type="paragraph" w:styleId="Footer">
    <w:name w:val="footer"/>
    <w:basedOn w:val="Normal"/>
    <w:link w:val="FooterChar"/>
    <w:uiPriority w:val="99"/>
    <w:unhideWhenUsed/>
    <w:rsid w:val="007C3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B5B"/>
  </w:style>
  <w:style w:type="character" w:styleId="CommentReference">
    <w:name w:val="annotation reference"/>
    <w:basedOn w:val="DefaultParagraphFont"/>
    <w:uiPriority w:val="99"/>
    <w:semiHidden/>
    <w:unhideWhenUsed/>
    <w:rsid w:val="00170C96"/>
    <w:rPr>
      <w:sz w:val="16"/>
      <w:szCs w:val="16"/>
    </w:rPr>
  </w:style>
  <w:style w:type="paragraph" w:styleId="CommentText">
    <w:name w:val="annotation text"/>
    <w:basedOn w:val="Normal"/>
    <w:link w:val="CommentTextChar"/>
    <w:uiPriority w:val="99"/>
    <w:semiHidden/>
    <w:unhideWhenUsed/>
    <w:rsid w:val="00170C96"/>
    <w:pPr>
      <w:spacing w:line="240" w:lineRule="auto"/>
    </w:pPr>
    <w:rPr>
      <w:sz w:val="20"/>
      <w:szCs w:val="20"/>
    </w:rPr>
  </w:style>
  <w:style w:type="character" w:customStyle="1" w:styleId="CommentTextChar">
    <w:name w:val="Comment Text Char"/>
    <w:basedOn w:val="DefaultParagraphFont"/>
    <w:link w:val="CommentText"/>
    <w:uiPriority w:val="99"/>
    <w:semiHidden/>
    <w:rsid w:val="00170C96"/>
    <w:rPr>
      <w:sz w:val="20"/>
      <w:szCs w:val="20"/>
    </w:rPr>
  </w:style>
  <w:style w:type="paragraph" w:styleId="CommentSubject">
    <w:name w:val="annotation subject"/>
    <w:basedOn w:val="CommentText"/>
    <w:next w:val="CommentText"/>
    <w:link w:val="CommentSubjectChar"/>
    <w:uiPriority w:val="99"/>
    <w:semiHidden/>
    <w:unhideWhenUsed/>
    <w:rsid w:val="00170C96"/>
    <w:rPr>
      <w:b/>
      <w:bCs/>
    </w:rPr>
  </w:style>
  <w:style w:type="character" w:customStyle="1" w:styleId="CommentSubjectChar">
    <w:name w:val="Comment Subject Char"/>
    <w:basedOn w:val="CommentTextChar"/>
    <w:link w:val="CommentSubject"/>
    <w:uiPriority w:val="99"/>
    <w:semiHidden/>
    <w:rsid w:val="00170C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697689">
      <w:bodyDiv w:val="1"/>
      <w:marLeft w:val="0"/>
      <w:marRight w:val="0"/>
      <w:marTop w:val="0"/>
      <w:marBottom w:val="0"/>
      <w:divBdr>
        <w:top w:val="none" w:sz="0" w:space="0" w:color="auto"/>
        <w:left w:val="none" w:sz="0" w:space="0" w:color="auto"/>
        <w:bottom w:val="none" w:sz="0" w:space="0" w:color="auto"/>
        <w:right w:val="none" w:sz="0" w:space="0" w:color="auto"/>
      </w:divBdr>
    </w:div>
    <w:div w:id="1850018378">
      <w:bodyDiv w:val="1"/>
      <w:marLeft w:val="0"/>
      <w:marRight w:val="0"/>
      <w:marTop w:val="0"/>
      <w:marBottom w:val="0"/>
      <w:divBdr>
        <w:top w:val="none" w:sz="0" w:space="0" w:color="auto"/>
        <w:left w:val="none" w:sz="0" w:space="0" w:color="auto"/>
        <w:bottom w:val="none" w:sz="0" w:space="0" w:color="auto"/>
        <w:right w:val="none" w:sz="0" w:space="0" w:color="auto"/>
      </w:divBdr>
    </w:div>
    <w:div w:id="212854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DB910-3794-4795-88DC-9DEC5D61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Shintani</dc:creator>
  <cp:lastModifiedBy>BPA User</cp:lastModifiedBy>
  <cp:revision>3</cp:revision>
  <cp:lastPrinted>2016-01-14T22:23:00Z</cp:lastPrinted>
  <dcterms:created xsi:type="dcterms:W3CDTF">2016-11-28T16:02:00Z</dcterms:created>
  <dcterms:modified xsi:type="dcterms:W3CDTF">2016-11-28T16:02:00Z</dcterms:modified>
</cp:coreProperties>
</file>