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C6" w:rsidRDefault="00EB4CC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March 14, 2019</w:t>
      </w:r>
    </w:p>
    <w:p w:rsidR="00EB4CC6" w:rsidRDefault="00EB4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F67" w:rsidRPr="00E8260F" w:rsidRDefault="00AF3F67" w:rsidP="00AF3F67">
      <w:pPr>
        <w:spacing w:after="120"/>
        <w:ind w:left="2520" w:hanging="2520"/>
        <w:rPr>
          <w:rFonts w:ascii="Arial Narrow" w:hAnsi="Arial Narrow"/>
          <w:sz w:val="24"/>
          <w:szCs w:val="24"/>
        </w:rPr>
      </w:pPr>
      <w:r w:rsidRPr="00E8260F">
        <w:rPr>
          <w:rFonts w:ascii="Arial Narrow" w:hAnsi="Arial Narrow"/>
          <w:b/>
          <w:bCs/>
          <w:sz w:val="24"/>
          <w:szCs w:val="24"/>
        </w:rPr>
        <w:t>Quadrant:</w:t>
      </w:r>
      <w:r w:rsidRPr="00E8260F">
        <w:rPr>
          <w:rFonts w:ascii="Arial Narrow" w:hAnsi="Arial Narrow"/>
          <w:sz w:val="24"/>
          <w:szCs w:val="24"/>
        </w:rPr>
        <w:tab/>
        <w:t>Wholesale Electric Quadrant</w:t>
      </w:r>
    </w:p>
    <w:p w:rsidR="00AF3F67" w:rsidRPr="00E8260F" w:rsidRDefault="00AF3F67" w:rsidP="00AF3F67">
      <w:pPr>
        <w:spacing w:after="120"/>
        <w:ind w:left="2520" w:hanging="2520"/>
        <w:rPr>
          <w:rFonts w:ascii="Arial Narrow" w:hAnsi="Arial Narrow"/>
          <w:sz w:val="24"/>
          <w:szCs w:val="24"/>
        </w:rPr>
      </w:pPr>
      <w:r w:rsidRPr="00E8260F">
        <w:rPr>
          <w:rFonts w:ascii="Arial Narrow" w:hAnsi="Arial Narrow"/>
          <w:b/>
          <w:bCs/>
          <w:sz w:val="24"/>
          <w:szCs w:val="24"/>
        </w:rPr>
        <w:t>Subcommittee:</w:t>
      </w:r>
      <w:r w:rsidRPr="00E8260F">
        <w:rPr>
          <w:rFonts w:ascii="Arial Narrow" w:hAnsi="Arial Narrow"/>
          <w:sz w:val="24"/>
          <w:szCs w:val="24"/>
        </w:rPr>
        <w:tab/>
        <w:t>Executive Committee</w:t>
      </w:r>
    </w:p>
    <w:p w:rsidR="00AF3F67" w:rsidRPr="00E8260F" w:rsidRDefault="00AF3F67" w:rsidP="00AF3F67">
      <w:pPr>
        <w:pStyle w:val="PlainText"/>
        <w:tabs>
          <w:tab w:val="left" w:pos="0"/>
        </w:tabs>
        <w:ind w:left="2520" w:hanging="2520"/>
        <w:rPr>
          <w:rFonts w:ascii="Arial Narrow" w:hAnsi="Arial Narrow"/>
          <w:sz w:val="24"/>
          <w:szCs w:val="24"/>
        </w:rPr>
      </w:pPr>
      <w:r w:rsidRPr="00E8260F">
        <w:rPr>
          <w:rFonts w:ascii="Arial Narrow" w:hAnsi="Arial Narrow"/>
          <w:b/>
          <w:bCs/>
          <w:sz w:val="24"/>
          <w:szCs w:val="24"/>
        </w:rPr>
        <w:t>Recommendation:</w:t>
      </w:r>
      <w:r w:rsidRPr="00E8260F">
        <w:rPr>
          <w:rFonts w:ascii="Arial Narrow" w:hAnsi="Arial Narrow"/>
          <w:sz w:val="24"/>
          <w:szCs w:val="24"/>
        </w:rPr>
        <w:t xml:space="preserve"> </w:t>
      </w:r>
      <w:r w:rsidRPr="00E8260F">
        <w:rPr>
          <w:rFonts w:ascii="Arial Narrow" w:hAnsi="Arial Narrow"/>
          <w:sz w:val="24"/>
          <w:szCs w:val="24"/>
        </w:rPr>
        <w:tab/>
      </w:r>
      <w:r w:rsidRPr="00E8260F">
        <w:rPr>
          <w:rFonts w:ascii="Arial Narrow" w:eastAsiaTheme="minorHAnsi" w:hAnsi="Arial Narrow" w:cstheme="minorBidi"/>
          <w:sz w:val="24"/>
          <w:szCs w:val="24"/>
        </w:rPr>
        <w:t>201</w:t>
      </w:r>
      <w:r>
        <w:rPr>
          <w:rFonts w:ascii="Arial Narrow" w:eastAsiaTheme="minorHAnsi" w:hAnsi="Arial Narrow" w:cstheme="minorBidi"/>
          <w:sz w:val="24"/>
          <w:szCs w:val="24"/>
        </w:rPr>
        <w:t>8</w:t>
      </w:r>
      <w:r w:rsidRPr="00E8260F">
        <w:rPr>
          <w:rFonts w:ascii="Arial Narrow" w:eastAsiaTheme="minorHAnsi" w:hAnsi="Arial Narrow" w:cstheme="minorBidi"/>
          <w:sz w:val="24"/>
          <w:szCs w:val="24"/>
        </w:rPr>
        <w:t xml:space="preserve"> AP Item </w:t>
      </w:r>
      <w:r>
        <w:rPr>
          <w:rFonts w:ascii="Arial Narrow" w:eastAsiaTheme="minorHAnsi" w:hAnsi="Arial Narrow" w:cstheme="minorBidi"/>
          <w:sz w:val="24"/>
          <w:szCs w:val="24"/>
        </w:rPr>
        <w:t>3.h</w:t>
      </w:r>
    </w:p>
    <w:p w:rsidR="00EB4CC6" w:rsidRPr="00AF3F67" w:rsidRDefault="00AF3F67" w:rsidP="00AF3F67">
      <w:pPr>
        <w:spacing w:before="120" w:after="120"/>
        <w:ind w:left="2520" w:hanging="2520"/>
        <w:rPr>
          <w:rFonts w:ascii="Arial Narrow" w:hAnsi="Arial Narrow"/>
          <w:bCs/>
          <w:sz w:val="24"/>
          <w:szCs w:val="24"/>
        </w:rPr>
      </w:pPr>
      <w:r w:rsidRPr="00E8260F">
        <w:rPr>
          <w:rFonts w:ascii="Arial Narrow" w:hAnsi="Arial Narrow"/>
          <w:b/>
          <w:bCs/>
          <w:sz w:val="24"/>
          <w:szCs w:val="24"/>
        </w:rPr>
        <w:t>Submitted By:</w:t>
      </w:r>
      <w:r w:rsidRPr="00E8260F">
        <w:rPr>
          <w:rFonts w:ascii="Arial Narrow" w:hAnsi="Arial Narrow"/>
          <w:b/>
          <w:bCs/>
          <w:sz w:val="24"/>
          <w:szCs w:val="24"/>
        </w:rPr>
        <w:tab/>
      </w:r>
      <w:r w:rsidRPr="00AF3F67">
        <w:rPr>
          <w:rFonts w:ascii="Arial Narrow" w:hAnsi="Arial Narrow"/>
          <w:bCs/>
          <w:sz w:val="24"/>
          <w:szCs w:val="24"/>
        </w:rPr>
        <w:t>PJM Interconnection, LLC</w:t>
      </w:r>
      <w:r w:rsidR="00EB4CC6">
        <w:rPr>
          <w:rFonts w:ascii="Times New Roman" w:hAnsi="Times New Roman"/>
          <w:sz w:val="24"/>
          <w:szCs w:val="24"/>
        </w:rPr>
        <w:tab/>
      </w:r>
    </w:p>
    <w:p w:rsidR="00AF3F67" w:rsidRDefault="000B34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F3F67" w:rsidRDefault="00AF3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CC6" w:rsidRDefault="00AF3F67">
      <w:pPr>
        <w:spacing w:after="0" w:line="240" w:lineRule="auto"/>
        <w:rPr>
          <w:rFonts w:asciiTheme="minorHAnsi" w:hAnsiTheme="minorHAnsi"/>
        </w:rPr>
      </w:pPr>
      <w:r w:rsidRPr="00AF3F67">
        <w:rPr>
          <w:rFonts w:asciiTheme="minorHAnsi" w:hAnsiTheme="minorHAnsi"/>
        </w:rPr>
        <w:t>PJM appreciates the opportunity to offer comments in response to NAESB’s February 12, 2019 request for Formal Comments pertaining to the 2019 WEQ Annual Plan Item 3.h/ R18011.</w:t>
      </w:r>
    </w:p>
    <w:p w:rsidR="001336E9" w:rsidRDefault="001336E9">
      <w:pPr>
        <w:spacing w:after="0" w:line="240" w:lineRule="auto"/>
        <w:rPr>
          <w:rFonts w:asciiTheme="minorHAnsi" w:hAnsiTheme="minorHAnsi"/>
        </w:rPr>
      </w:pPr>
    </w:p>
    <w:p w:rsidR="001336E9" w:rsidRPr="00AF3F67" w:rsidRDefault="001336E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After careful </w:t>
      </w:r>
      <w:r w:rsidR="006734C1">
        <w:rPr>
          <w:rFonts w:asciiTheme="minorHAnsi" w:hAnsiTheme="minorHAnsi"/>
        </w:rPr>
        <w:t>review, PJM would like to raise the following points for consideration.</w:t>
      </w:r>
    </w:p>
    <w:p w:rsidR="00AF3F67" w:rsidRPr="00AF3F67" w:rsidRDefault="00AF3F67">
      <w:pPr>
        <w:spacing w:after="0" w:line="240" w:lineRule="auto"/>
        <w:rPr>
          <w:rFonts w:asciiTheme="minorHAnsi" w:hAnsiTheme="minorHAnsi"/>
        </w:rPr>
      </w:pPr>
    </w:p>
    <w:p w:rsidR="006734C1" w:rsidRDefault="00AF3F67" w:rsidP="006734C1">
      <w:pPr>
        <w:pStyle w:val="Heading2"/>
      </w:pPr>
      <w:r w:rsidRPr="00AF3F67">
        <w:t>Reliability Entit</w:t>
      </w:r>
      <w:r w:rsidR="001C24DD">
        <w:t xml:space="preserve">ies </w:t>
      </w:r>
      <w:r w:rsidR="002B7F4B">
        <w:t>Will Be Impacted</w:t>
      </w:r>
    </w:p>
    <w:p w:rsidR="007D438E" w:rsidRDefault="007D438E" w:rsidP="00AF3F67">
      <w:pPr>
        <w:rPr>
          <w:rFonts w:asciiTheme="minorHAnsi" w:hAnsiTheme="minorHAnsi" w:cs="Arial"/>
        </w:rPr>
      </w:pPr>
      <w:r w:rsidRPr="007D438E">
        <w:rPr>
          <w:rFonts w:asciiTheme="minorHAnsi" w:hAnsiTheme="minorHAnsi" w:cs="Arial"/>
        </w:rPr>
        <w:t xml:space="preserve">The recommendation </w:t>
      </w:r>
      <w:r>
        <w:rPr>
          <w:rFonts w:asciiTheme="minorHAnsi" w:hAnsiTheme="minorHAnsi" w:cs="Arial"/>
        </w:rPr>
        <w:t>contains the statement</w:t>
      </w:r>
      <w:r w:rsidRPr="007D438E">
        <w:rPr>
          <w:rFonts w:asciiTheme="minorHAnsi" w:hAnsiTheme="minorHAnsi" w:cs="Arial"/>
        </w:rPr>
        <w:t xml:space="preserve"> “The proposed changes maintain consistency with the NERC I</w:t>
      </w:r>
      <w:r>
        <w:rPr>
          <w:rFonts w:asciiTheme="minorHAnsi" w:hAnsiTheme="minorHAnsi" w:cs="Arial"/>
        </w:rPr>
        <w:t xml:space="preserve">NT-006-4 Reliability Standards,” but we </w:t>
      </w:r>
      <w:r w:rsidR="004D29EE">
        <w:rPr>
          <w:rFonts w:asciiTheme="minorHAnsi" w:hAnsiTheme="minorHAnsi" w:cs="Arial"/>
        </w:rPr>
        <w:t>note that “consistency</w:t>
      </w:r>
      <w:r w:rsidR="003718FD">
        <w:rPr>
          <w:rFonts w:asciiTheme="minorHAnsi" w:hAnsiTheme="minorHAnsi" w:cs="Arial"/>
        </w:rPr>
        <w:t xml:space="preserve"> with</w:t>
      </w:r>
      <w:r w:rsidR="004D29EE">
        <w:rPr>
          <w:rFonts w:asciiTheme="minorHAnsi" w:hAnsiTheme="minorHAnsi" w:cs="Arial"/>
        </w:rPr>
        <w:t xml:space="preserve">” </w:t>
      </w:r>
      <w:r w:rsidR="003718FD">
        <w:rPr>
          <w:rFonts w:asciiTheme="minorHAnsi" w:hAnsiTheme="minorHAnsi" w:cs="Arial"/>
        </w:rPr>
        <w:t>is not the same as stating there</w:t>
      </w:r>
      <w:r w:rsidR="004D29EE">
        <w:rPr>
          <w:rFonts w:asciiTheme="minorHAnsi" w:hAnsiTheme="minorHAnsi" w:cs="Arial"/>
        </w:rPr>
        <w:t xml:space="preserve"> will be no impact</w:t>
      </w:r>
      <w:r w:rsidR="003718FD">
        <w:rPr>
          <w:rFonts w:asciiTheme="minorHAnsi" w:hAnsiTheme="minorHAnsi" w:cs="Arial"/>
        </w:rPr>
        <w:t xml:space="preserve"> to Reliability Entities</w:t>
      </w:r>
      <w:r>
        <w:rPr>
          <w:rFonts w:asciiTheme="minorHAnsi" w:hAnsiTheme="minorHAnsi" w:cs="Arial"/>
        </w:rPr>
        <w:t xml:space="preserve">.  The recommendation fundamentally changes the Market Assessment time granted to Market Entities </w:t>
      </w:r>
      <w:r w:rsidR="00E70292" w:rsidRPr="00AF3F67">
        <w:rPr>
          <w:rFonts w:asciiTheme="minorHAnsi" w:hAnsiTheme="minorHAnsi" w:cs="Arial"/>
        </w:rPr>
        <w:t>(GPE, LSE, TPSE</w:t>
      </w:r>
      <w:r w:rsidR="00E70292">
        <w:rPr>
          <w:rFonts w:asciiTheme="minorHAnsi" w:hAnsiTheme="minorHAnsi" w:cs="Arial"/>
        </w:rPr>
        <w:t>, MO,</w:t>
      </w:r>
      <w:r w:rsidR="00E70292" w:rsidRPr="00AF3F67">
        <w:rPr>
          <w:rFonts w:asciiTheme="minorHAnsi" w:hAnsiTheme="minorHAnsi" w:cs="Arial"/>
        </w:rPr>
        <w:t xml:space="preserve"> &amp; TSP)</w:t>
      </w:r>
      <w:r w:rsidR="00E70292">
        <w:rPr>
          <w:rFonts w:asciiTheme="minorHAnsi" w:hAnsiTheme="minorHAnsi" w:cs="Arial"/>
        </w:rPr>
        <w:t xml:space="preserve"> and includes the statement “</w:t>
      </w:r>
      <w:r w:rsidR="00E70292" w:rsidRPr="00E70292">
        <w:rPr>
          <w:rFonts w:asciiTheme="minorHAnsi" w:hAnsiTheme="minorHAnsi" w:cs="Arial"/>
        </w:rPr>
        <w:t>Entities in Column B will have their assessment times reduced by up to 60 seconds to account for the distribution window</w:t>
      </w:r>
      <w:r w:rsidR="00E70292">
        <w:rPr>
          <w:rFonts w:asciiTheme="minorHAnsi" w:hAnsiTheme="minorHAnsi" w:cs="Arial"/>
        </w:rPr>
        <w:t>.”</w:t>
      </w:r>
      <w:r w:rsidR="00997C7C">
        <w:rPr>
          <w:rFonts w:asciiTheme="minorHAnsi" w:hAnsiTheme="minorHAnsi" w:cs="Arial"/>
        </w:rPr>
        <w:t xml:space="preserve">  </w:t>
      </w:r>
      <w:r w:rsidR="004D29EE">
        <w:rPr>
          <w:rFonts w:asciiTheme="minorHAnsi" w:hAnsiTheme="minorHAnsi" w:cs="Arial"/>
        </w:rPr>
        <w:t>Based on the discussions that occurred at the CISS, we believe i</w:t>
      </w:r>
      <w:r w:rsidR="00997C7C">
        <w:rPr>
          <w:rFonts w:asciiTheme="minorHAnsi" w:hAnsiTheme="minorHAnsi" w:cs="Arial"/>
        </w:rPr>
        <w:t>t is</w:t>
      </w:r>
      <w:r w:rsidR="004D29EE">
        <w:rPr>
          <w:rFonts w:asciiTheme="minorHAnsi" w:hAnsiTheme="minorHAnsi" w:cs="Arial"/>
        </w:rPr>
        <w:t xml:space="preserve"> not only </w:t>
      </w:r>
      <w:r w:rsidR="00997C7C">
        <w:rPr>
          <w:rFonts w:asciiTheme="minorHAnsi" w:hAnsiTheme="minorHAnsi" w:cs="Arial"/>
        </w:rPr>
        <w:t>unreasonable to expect that</w:t>
      </w:r>
      <w:r w:rsidR="000C1E19">
        <w:rPr>
          <w:rFonts w:asciiTheme="minorHAnsi" w:hAnsiTheme="minorHAnsi" w:cs="Arial"/>
        </w:rPr>
        <w:t xml:space="preserve"> Tag Authority software providers will calculate Assessment Windows differently for Market and Reliability entities</w:t>
      </w:r>
      <w:r w:rsidR="004D29EE">
        <w:rPr>
          <w:rFonts w:asciiTheme="minorHAnsi" w:hAnsiTheme="minorHAnsi" w:cs="Arial"/>
        </w:rPr>
        <w:t xml:space="preserve">, but that doing so would be unworkable given the </w:t>
      </w:r>
      <w:r w:rsidR="003718FD">
        <w:rPr>
          <w:rFonts w:asciiTheme="minorHAnsi" w:hAnsiTheme="minorHAnsi" w:cs="Arial"/>
        </w:rPr>
        <w:t>proposed</w:t>
      </w:r>
      <w:r w:rsidR="004D29EE">
        <w:rPr>
          <w:rFonts w:asciiTheme="minorHAnsi" w:hAnsiTheme="minorHAnsi" w:cs="Arial"/>
        </w:rPr>
        <w:t xml:space="preserve"> technical solutions.  For that reason, the adoption and implementation of this recommendation </w:t>
      </w:r>
      <w:r w:rsidR="003718FD">
        <w:rPr>
          <w:rFonts w:asciiTheme="minorHAnsi" w:hAnsiTheme="minorHAnsi" w:cs="Arial"/>
        </w:rPr>
        <w:t>will</w:t>
      </w:r>
      <w:r w:rsidR="004D29EE">
        <w:rPr>
          <w:rFonts w:asciiTheme="minorHAnsi" w:hAnsiTheme="minorHAnsi" w:cs="Arial"/>
        </w:rPr>
        <w:t xml:space="preserve"> have a direct impact on Reliability Entities that must comply with NERC INT-006-4 in that they </w:t>
      </w:r>
      <w:r w:rsidR="003718FD">
        <w:rPr>
          <w:rFonts w:asciiTheme="minorHAnsi" w:hAnsiTheme="minorHAnsi" w:cs="Arial"/>
        </w:rPr>
        <w:t>too will</w:t>
      </w:r>
      <w:r w:rsidR="004D29EE">
        <w:rPr>
          <w:rFonts w:asciiTheme="minorHAnsi" w:hAnsiTheme="minorHAnsi" w:cs="Arial"/>
        </w:rPr>
        <w:t xml:space="preserve"> have their assessment times reduced by up to 60 seconds.</w:t>
      </w:r>
      <w:r w:rsidR="00997C7C">
        <w:rPr>
          <w:rFonts w:asciiTheme="minorHAnsi" w:hAnsiTheme="minorHAnsi" w:cs="Arial"/>
        </w:rPr>
        <w:t xml:space="preserve"> </w:t>
      </w:r>
    </w:p>
    <w:p w:rsidR="00AF3F67" w:rsidRDefault="002B7F4B" w:rsidP="00AF3F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3718FD">
        <w:rPr>
          <w:rFonts w:asciiTheme="minorHAnsi" w:hAnsiTheme="minorHAnsi" w:cs="Arial"/>
        </w:rPr>
        <w:t xml:space="preserve">he recommendation fails to disclose </w:t>
      </w:r>
      <w:r>
        <w:rPr>
          <w:rFonts w:asciiTheme="minorHAnsi" w:hAnsiTheme="minorHAnsi" w:cs="Arial"/>
        </w:rPr>
        <w:t>in a transparent manner that these changes</w:t>
      </w:r>
      <w:r w:rsidR="003718F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will</w:t>
      </w:r>
      <w:r w:rsidR="003718FD">
        <w:rPr>
          <w:rFonts w:asciiTheme="minorHAnsi" w:hAnsiTheme="minorHAnsi" w:cs="Arial"/>
        </w:rPr>
        <w:t xml:space="preserve"> impact Reliability Entit</w:t>
      </w:r>
      <w:r>
        <w:rPr>
          <w:rFonts w:asciiTheme="minorHAnsi" w:hAnsiTheme="minorHAnsi" w:cs="Arial"/>
        </w:rPr>
        <w:t>ie</w:t>
      </w:r>
      <w:r w:rsidR="003718FD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who must</w:t>
      </w:r>
      <w:r w:rsidR="003718FD">
        <w:rPr>
          <w:rFonts w:asciiTheme="minorHAnsi" w:hAnsiTheme="minorHAnsi" w:cs="Arial"/>
        </w:rPr>
        <w:t xml:space="preserve"> comply with the NERC INT-006-4 Reliability Standard.  </w:t>
      </w:r>
      <w:r>
        <w:rPr>
          <w:rFonts w:asciiTheme="minorHAnsi" w:hAnsiTheme="minorHAnsi" w:cs="Arial"/>
        </w:rPr>
        <w:t>For that reason, w</w:t>
      </w:r>
      <w:r w:rsidR="003718FD">
        <w:rPr>
          <w:rFonts w:asciiTheme="minorHAnsi" w:hAnsiTheme="minorHAnsi" w:cs="Arial"/>
        </w:rPr>
        <w:t xml:space="preserve">e suggest that this </w:t>
      </w:r>
      <w:r>
        <w:rPr>
          <w:rFonts w:asciiTheme="minorHAnsi" w:hAnsiTheme="minorHAnsi" w:cs="Arial"/>
        </w:rPr>
        <w:t>recommendation</w:t>
      </w:r>
      <w:r w:rsidR="003718FD">
        <w:rPr>
          <w:rFonts w:asciiTheme="minorHAnsi" w:hAnsiTheme="minorHAnsi" w:cs="Arial"/>
        </w:rPr>
        <w:t xml:space="preserve"> should not be implemented until and unless similar </w:t>
      </w:r>
      <w:r>
        <w:rPr>
          <w:rFonts w:asciiTheme="minorHAnsi" w:hAnsiTheme="minorHAnsi" w:cs="Arial"/>
        </w:rPr>
        <w:t>modifications</w:t>
      </w:r>
      <w:r w:rsidR="003718FD">
        <w:rPr>
          <w:rFonts w:asciiTheme="minorHAnsi" w:hAnsiTheme="minorHAnsi" w:cs="Arial"/>
        </w:rPr>
        <w:t xml:space="preserve"> are incorporated into the NERC Reliability Standards.  </w:t>
      </w:r>
    </w:p>
    <w:p w:rsidR="002B7F4B" w:rsidRDefault="002B7F4B" w:rsidP="00AF3F67">
      <w:pPr>
        <w:rPr>
          <w:rFonts w:asciiTheme="minorHAnsi" w:hAnsiTheme="minorHAnsi" w:cs="Arial"/>
        </w:rPr>
      </w:pPr>
    </w:p>
    <w:p w:rsidR="002B7F4B" w:rsidRDefault="002B7F4B" w:rsidP="00AF3F67">
      <w:pPr>
        <w:rPr>
          <w:rFonts w:asciiTheme="minorHAnsi" w:hAnsiTheme="minorHAnsi" w:cs="Arial"/>
        </w:rPr>
      </w:pPr>
    </w:p>
    <w:p w:rsidR="002B7F4B" w:rsidRPr="00AF3F67" w:rsidRDefault="002B7F4B" w:rsidP="00AF3F67">
      <w:pPr>
        <w:rPr>
          <w:rFonts w:asciiTheme="minorHAnsi" w:hAnsiTheme="minorHAnsi" w:cs="Arial"/>
        </w:rPr>
      </w:pPr>
    </w:p>
    <w:p w:rsidR="00704A85" w:rsidRDefault="002B5105" w:rsidP="001C24DD">
      <w:pPr>
        <w:pStyle w:val="Heading2"/>
      </w:pPr>
      <w:r>
        <w:lastRenderedPageBreak/>
        <w:t>The Status Quo Interpretation and Software Solutions Are Sufficient</w:t>
      </w:r>
    </w:p>
    <w:p w:rsidR="00AF3F67" w:rsidRDefault="00704A85" w:rsidP="00704A85">
      <w:r>
        <w:t>The</w:t>
      </w:r>
      <w:r w:rsidR="00AF3F67" w:rsidRPr="00AF3F67">
        <w:t xml:space="preserve"> </w:t>
      </w:r>
      <w:r>
        <w:t xml:space="preserve">recommendation </w:t>
      </w:r>
      <w:r w:rsidRPr="00704A85">
        <w:t xml:space="preserve">makes clear </w:t>
      </w:r>
      <w:r>
        <w:t>that ambiguity</w:t>
      </w:r>
      <w:r w:rsidRPr="00704A85">
        <w:t xml:space="preserve"> exists</w:t>
      </w:r>
      <w:r>
        <w:t xml:space="preserve"> </w:t>
      </w:r>
      <w:r w:rsidR="008B2FBC">
        <w:t>with respect</w:t>
      </w:r>
      <w:r>
        <w:t xml:space="preserve"> to the calculation of timings present in the WEQ-004 Appendix D Timing Tables; however, no</w:t>
      </w:r>
      <w:r w:rsidR="008B2FBC">
        <w:t xml:space="preserve"> argument or evidence is supplied to indicate why this ambiguity should be </w:t>
      </w:r>
      <w:r w:rsidR="0083125D">
        <w:t>viewed</w:t>
      </w:r>
      <w:r w:rsidR="008B2FBC">
        <w:t xml:space="preserve"> in a negative light.  </w:t>
      </w:r>
      <w:r w:rsidR="0083125D">
        <w:t>In fact, w</w:t>
      </w:r>
      <w:r w:rsidR="008B2FBC">
        <w:t xml:space="preserve">e </w:t>
      </w:r>
      <w:r w:rsidR="0083125D">
        <w:t>suggest</w:t>
      </w:r>
      <w:r w:rsidR="008B2FBC">
        <w:t xml:space="preserve"> that a </w:t>
      </w:r>
      <w:r w:rsidR="0083125D">
        <w:t>small amount</w:t>
      </w:r>
      <w:r w:rsidR="008B2FBC">
        <w:t xml:space="preserve"> of ambiguity in regulatory language can </w:t>
      </w:r>
      <w:r w:rsidR="0083125D">
        <w:t>be a positive feature and</w:t>
      </w:r>
      <w:r w:rsidR="008B2FBC">
        <w:t xml:space="preserve"> a purposeful component of language intended to </w:t>
      </w:r>
      <w:r w:rsidR="0083125D">
        <w:t xml:space="preserve">permit entities </w:t>
      </w:r>
      <w:r w:rsidR="00D903EE">
        <w:t>latitude in their approach to compliance</w:t>
      </w:r>
      <w:r w:rsidR="008B2FBC">
        <w:t>.</w:t>
      </w:r>
      <w:r w:rsidR="0083125D">
        <w:t xml:space="preserve">  From that standpoint, we cannot help but consider that each Tag Authority software provider has individually interpreted the current Timing Table language in the same way </w:t>
      </w:r>
      <w:r w:rsidR="002B5105">
        <w:t>and constructed software solutions that adhere to the</w:t>
      </w:r>
      <w:r w:rsidR="00EF2C2A">
        <w:t xml:space="preserve"> NAESB e</w:t>
      </w:r>
      <w:r w:rsidR="002B5105">
        <w:t xml:space="preserve">-Tag Specification.  </w:t>
      </w:r>
      <w:r w:rsidR="008E563A">
        <w:t>Simply stated</w:t>
      </w:r>
      <w:r w:rsidR="00D903EE">
        <w:t xml:space="preserve">, the </w:t>
      </w:r>
      <w:r w:rsidR="00EA50E7">
        <w:t xml:space="preserve">existing Timing </w:t>
      </w:r>
      <w:r w:rsidR="008E563A">
        <w:t xml:space="preserve">Table </w:t>
      </w:r>
      <w:r w:rsidR="00D903EE">
        <w:t xml:space="preserve">ambiguity has not </w:t>
      </w:r>
      <w:r w:rsidR="008E563A">
        <w:t>translated to</w:t>
      </w:r>
      <w:r w:rsidR="00D903EE">
        <w:t xml:space="preserve"> non-standard </w:t>
      </w:r>
      <w:r w:rsidR="008E563A">
        <w:t xml:space="preserve">software </w:t>
      </w:r>
      <w:r w:rsidR="00D903EE">
        <w:t xml:space="preserve">solutions.  </w:t>
      </w:r>
      <w:r w:rsidR="002B5105">
        <w:t>The Market and Reliability Entities impacted by these proposed changes have been</w:t>
      </w:r>
      <w:r w:rsidR="0083125D">
        <w:t xml:space="preserve"> utilizing the software designed via these interpretations, without incident, for well over a decade.</w:t>
      </w:r>
      <w:r w:rsidR="008B2FBC">
        <w:t xml:space="preserve"> </w:t>
      </w:r>
    </w:p>
    <w:p w:rsidR="0083125D" w:rsidRPr="00AF3F67" w:rsidRDefault="003C1DC4" w:rsidP="00704A85">
      <w:r>
        <w:t>Despite the current ambiguity,</w:t>
      </w:r>
      <w:r w:rsidR="0083125D">
        <w:t xml:space="preserve"> </w:t>
      </w:r>
      <w:r>
        <w:t xml:space="preserve">we believe </w:t>
      </w:r>
      <w:r w:rsidR="0083125D">
        <w:t>the status quo interpretation and technical solutions work sufficiently well</w:t>
      </w:r>
      <w:r>
        <w:t xml:space="preserve">; consequently, we suggest that a deviation from the status quo and many years of precedent </w:t>
      </w:r>
      <w:r w:rsidR="00EF2C2A">
        <w:t>must be qualified by a discussion that highlights why the status quo is deficient</w:t>
      </w:r>
      <w:r>
        <w:t xml:space="preserve">. </w:t>
      </w:r>
      <w:r w:rsidR="00D903EE">
        <w:t xml:space="preserve"> The recommendation does not offer a persuasive argument in this regard.</w:t>
      </w:r>
      <w:r>
        <w:t xml:space="preserve"> </w:t>
      </w:r>
    </w:p>
    <w:p w:rsidR="00AF3F67" w:rsidRPr="00AF3F67" w:rsidRDefault="00AF3F67" w:rsidP="00AF3F67">
      <w:pPr>
        <w:rPr>
          <w:rFonts w:asciiTheme="minorHAnsi" w:hAnsiTheme="minorHAnsi" w:cs="Arial"/>
        </w:rPr>
      </w:pPr>
    </w:p>
    <w:p w:rsidR="00AF3F67" w:rsidRPr="00AF3F67" w:rsidRDefault="001D3243" w:rsidP="001C24DD">
      <w:pPr>
        <w:pStyle w:val="Heading2"/>
      </w:pPr>
      <w:r>
        <w:t>Insufficient</w:t>
      </w:r>
      <w:r w:rsidR="002B5105">
        <w:t xml:space="preserve"> Value </w:t>
      </w:r>
      <w:r>
        <w:t>Gained</w:t>
      </w:r>
      <w:r w:rsidR="002B5105">
        <w:t xml:space="preserve"> by </w:t>
      </w:r>
      <w:r>
        <w:t xml:space="preserve">Implementing </w:t>
      </w:r>
      <w:r w:rsidR="002B5105">
        <w:t>the Proposed Changes</w:t>
      </w:r>
    </w:p>
    <w:p w:rsidR="003C1DC4" w:rsidRDefault="001D3243" w:rsidP="00AF3F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recommendation contains no mention of identified operational, financial, or compliance risks as a rationale for adopting the proposed changes.  As such, we believe it reasonable to expect that the </w:t>
      </w:r>
      <w:r w:rsidR="00EF2C2A">
        <w:rPr>
          <w:rFonts w:asciiTheme="minorHAnsi" w:hAnsiTheme="minorHAnsi" w:cs="Arial"/>
        </w:rPr>
        <w:t>proposal</w:t>
      </w:r>
      <w:r>
        <w:rPr>
          <w:rFonts w:asciiTheme="minorHAnsi" w:hAnsiTheme="minorHAnsi" w:cs="Arial"/>
        </w:rPr>
        <w:t xml:space="preserve"> convey</w:t>
      </w:r>
      <w:r w:rsidR="00EF2C2A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sufficient benefit to justify the</w:t>
      </w:r>
      <w:r w:rsidR="00D42AED">
        <w:rPr>
          <w:rFonts w:asciiTheme="minorHAnsi" w:hAnsiTheme="minorHAnsi" w:cs="Arial"/>
        </w:rPr>
        <w:t xml:space="preserve"> cos</w:t>
      </w:r>
      <w:r w:rsidR="00EF2C2A">
        <w:rPr>
          <w:rFonts w:asciiTheme="minorHAnsi" w:hAnsiTheme="minorHAnsi" w:cs="Arial"/>
        </w:rPr>
        <w:t>t of implementation</w:t>
      </w:r>
      <w:r w:rsidR="00D42AED">
        <w:rPr>
          <w:rFonts w:asciiTheme="minorHAnsi" w:hAnsiTheme="minorHAnsi" w:cs="Arial"/>
        </w:rPr>
        <w:t xml:space="preserve"> in terms of time, resources, and the socialized </w:t>
      </w:r>
      <w:r w:rsidR="00D903EE">
        <w:rPr>
          <w:rFonts w:asciiTheme="minorHAnsi" w:hAnsiTheme="minorHAnsi" w:cs="Arial"/>
        </w:rPr>
        <w:t>expense</w:t>
      </w:r>
      <w:r w:rsidR="00D42AED">
        <w:rPr>
          <w:rFonts w:asciiTheme="minorHAnsi" w:hAnsiTheme="minorHAnsi" w:cs="Arial"/>
        </w:rPr>
        <w:t xml:space="preserve"> of software development.  However, the recommendation appears to </w:t>
      </w:r>
      <w:r w:rsidR="00EF2C2A">
        <w:rPr>
          <w:rFonts w:asciiTheme="minorHAnsi" w:hAnsiTheme="minorHAnsi" w:cs="Arial"/>
        </w:rPr>
        <w:t>reflect</w:t>
      </w:r>
      <w:r w:rsidR="00D42AED">
        <w:rPr>
          <w:rFonts w:asciiTheme="minorHAnsi" w:hAnsiTheme="minorHAnsi" w:cs="Arial"/>
        </w:rPr>
        <w:t xml:space="preserve"> only diminished value</w:t>
      </w:r>
      <w:r w:rsidR="00B354AB">
        <w:rPr>
          <w:rFonts w:asciiTheme="minorHAnsi" w:hAnsiTheme="minorHAnsi" w:cs="Arial"/>
        </w:rPr>
        <w:t xml:space="preserve"> to impacted entities</w:t>
      </w:r>
      <w:r w:rsidR="00D42AED">
        <w:rPr>
          <w:rFonts w:asciiTheme="minorHAnsi" w:hAnsiTheme="minorHAnsi" w:cs="Arial"/>
        </w:rPr>
        <w:t xml:space="preserve"> in the form of </w:t>
      </w:r>
      <w:r w:rsidR="00162AEF">
        <w:rPr>
          <w:rFonts w:asciiTheme="minorHAnsi" w:hAnsiTheme="minorHAnsi" w:cs="Arial"/>
        </w:rPr>
        <w:t xml:space="preserve">allocating </w:t>
      </w:r>
      <w:r w:rsidR="00D42AED">
        <w:rPr>
          <w:rFonts w:asciiTheme="minorHAnsi" w:hAnsiTheme="minorHAnsi" w:cs="Arial"/>
        </w:rPr>
        <w:t>less time t</w:t>
      </w:r>
      <w:r w:rsidR="00162AEF">
        <w:rPr>
          <w:rFonts w:asciiTheme="minorHAnsi" w:hAnsiTheme="minorHAnsi" w:cs="Arial"/>
        </w:rPr>
        <w:t xml:space="preserve">o </w:t>
      </w:r>
      <w:r w:rsidR="00EF2C2A">
        <w:rPr>
          <w:rFonts w:asciiTheme="minorHAnsi" w:hAnsiTheme="minorHAnsi" w:cs="Arial"/>
        </w:rPr>
        <w:t>conduct</w:t>
      </w:r>
      <w:r w:rsidR="00162AEF">
        <w:rPr>
          <w:rFonts w:asciiTheme="minorHAnsi" w:hAnsiTheme="minorHAnsi" w:cs="Arial"/>
        </w:rPr>
        <w:t xml:space="preserve"> a Market Assessment.  </w:t>
      </w:r>
      <w:r w:rsidR="00EF2C2A">
        <w:rPr>
          <w:rFonts w:asciiTheme="minorHAnsi" w:hAnsiTheme="minorHAnsi" w:cs="Arial"/>
        </w:rPr>
        <w:t>As</w:t>
      </w:r>
      <w:r w:rsidR="00162AEF">
        <w:rPr>
          <w:rFonts w:asciiTheme="minorHAnsi" w:hAnsiTheme="minorHAnsi" w:cs="Arial"/>
        </w:rPr>
        <w:t xml:space="preserve"> the compliance obligation created by Column B of </w:t>
      </w:r>
      <w:r w:rsidR="00162AEF">
        <w:t>WEQ-004 Appendix D Timing Tables resides</w:t>
      </w:r>
      <w:r w:rsidR="00162AEF">
        <w:rPr>
          <w:rFonts w:asciiTheme="minorHAnsi" w:hAnsiTheme="minorHAnsi" w:cs="Arial"/>
        </w:rPr>
        <w:t xml:space="preserve"> with these Market Entities</w:t>
      </w:r>
      <w:r w:rsidR="00EF2C2A">
        <w:rPr>
          <w:rFonts w:asciiTheme="minorHAnsi" w:hAnsiTheme="minorHAnsi" w:cs="Arial"/>
        </w:rPr>
        <w:t>,</w:t>
      </w:r>
      <w:r w:rsidR="00162AEF">
        <w:rPr>
          <w:rFonts w:asciiTheme="minorHAnsi" w:hAnsiTheme="minorHAnsi" w:cs="Arial"/>
        </w:rPr>
        <w:t xml:space="preserve"> the value gained by adopting this proposal and reducing the time available for compliance is not obvious.</w:t>
      </w:r>
      <w:r w:rsidR="00EA50E7">
        <w:rPr>
          <w:rFonts w:asciiTheme="minorHAnsi" w:hAnsiTheme="minorHAnsi" w:cs="Arial"/>
        </w:rPr>
        <w:t xml:space="preserve">  Similarly, the value gained by other entities as a result of limiting Market Entities in this fashion is not obvious.</w:t>
      </w:r>
    </w:p>
    <w:p w:rsidR="00EF2C2A" w:rsidRPr="00AF3F67" w:rsidRDefault="00EF2C2A" w:rsidP="00AF3F67">
      <w:pPr>
        <w:rPr>
          <w:rFonts w:asciiTheme="minorHAnsi" w:hAnsiTheme="minorHAnsi" w:cs="Arial"/>
        </w:rPr>
      </w:pPr>
      <w:r>
        <w:t>It is PJM’s position that the recommendation fails to demonstrate sufficient value to justify the cost of implementation.</w:t>
      </w:r>
    </w:p>
    <w:sectPr w:rsidR="00EF2C2A" w:rsidRPr="00AF3F6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46F" w:rsidRDefault="000B346F">
      <w:pPr>
        <w:spacing w:after="0" w:line="240" w:lineRule="auto"/>
      </w:pPr>
      <w:r>
        <w:separator/>
      </w:r>
    </w:p>
  </w:endnote>
  <w:endnote w:type="continuationSeparator" w:id="0">
    <w:p w:rsidR="000B346F" w:rsidRDefault="000B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46F" w:rsidRDefault="000B346F">
      <w:pPr>
        <w:spacing w:after="0" w:line="240" w:lineRule="auto"/>
      </w:pPr>
      <w:r>
        <w:separator/>
      </w:r>
    </w:p>
  </w:footnote>
  <w:footnote w:type="continuationSeparator" w:id="0">
    <w:p w:rsidR="000B346F" w:rsidRDefault="000B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C6" w:rsidRDefault="00EB4CC6">
    <w:pPr>
      <w:pStyle w:val="Head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E563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B4CC6" w:rsidRDefault="00EB4CC6">
    <w:pPr>
      <w:pStyle w:val="Header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C6" w:rsidRDefault="00EB4CC6">
    <w:pPr>
      <w:pStyle w:val="Header"/>
      <w:spacing w:after="0" w:line="240" w:lineRule="auto"/>
      <w:rPr>
        <w:sz w:val="16"/>
      </w:rPr>
    </w:pPr>
    <w:r>
      <w:rPr>
        <w:noProof/>
        <w:sz w:val="16"/>
      </w:rPr>
      <w:drawing>
        <wp:inline distT="0" distB="0" distL="0" distR="0">
          <wp:extent cx="1647825" cy="628650"/>
          <wp:effectExtent l="0" t="0" r="9525" b="0"/>
          <wp:docPr id="1" name="Picture 1" descr="logo-addi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ddi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ab/>
    </w:r>
    <w:r>
      <w:rPr>
        <w:sz w:val="16"/>
      </w:rPr>
      <w:tab/>
      <w:t>PJM Interconnection</w:t>
    </w:r>
  </w:p>
  <w:p w:rsidR="00EB4CC6" w:rsidRDefault="00EB4CC6">
    <w:pPr>
      <w:pStyle w:val="Header"/>
      <w:spacing w:after="0" w:line="240" w:lineRule="auto"/>
      <w:rPr>
        <w:sz w:val="16"/>
      </w:rPr>
    </w:pPr>
    <w:r>
      <w:rPr>
        <w:sz w:val="16"/>
      </w:rPr>
      <w:tab/>
    </w:r>
    <w:r>
      <w:rPr>
        <w:sz w:val="16"/>
      </w:rPr>
      <w:tab/>
    </w:r>
    <w:smartTag w:uri="urn:schemas-microsoft-com:office:smarttags" w:element="place">
      <w:r>
        <w:rPr>
          <w:sz w:val="16"/>
        </w:rPr>
        <w:t>Valley Forge</w:t>
      </w:r>
    </w:smartTag>
    <w:r>
      <w:rPr>
        <w:sz w:val="16"/>
      </w:rPr>
      <w:t xml:space="preserve"> Corporate Center</w:t>
    </w:r>
  </w:p>
  <w:p w:rsidR="00EB4CC6" w:rsidRDefault="00EB4CC6">
    <w:pPr>
      <w:pStyle w:val="Header"/>
      <w:spacing w:after="0" w:line="240" w:lineRule="auto"/>
      <w:rPr>
        <w:sz w:val="16"/>
      </w:rPr>
    </w:pPr>
    <w:r>
      <w:rPr>
        <w:sz w:val="16"/>
      </w:rPr>
      <w:tab/>
    </w:r>
    <w:r>
      <w:rPr>
        <w:sz w:val="16"/>
      </w:rPr>
      <w:tab/>
    </w:r>
    <w:smartTag w:uri="urn:schemas-microsoft-com:office:smarttags" w:element="Street">
      <w:smartTag w:uri="urn:schemas-microsoft-com:office:smarttags" w:element="address">
        <w:r>
          <w:rPr>
            <w:sz w:val="16"/>
          </w:rPr>
          <w:t>955 Jefferson Avenue</w:t>
        </w:r>
      </w:smartTag>
    </w:smartTag>
  </w:p>
  <w:p w:rsidR="00EB4CC6" w:rsidRDefault="00EB4CC6">
    <w:pPr>
      <w:pStyle w:val="Header"/>
      <w:spacing w:after="0" w:line="240" w:lineRule="auto"/>
      <w:rPr>
        <w:sz w:val="16"/>
      </w:rPr>
    </w:pPr>
    <w:r>
      <w:rPr>
        <w:sz w:val="16"/>
      </w:rPr>
      <w:tab/>
    </w:r>
    <w:r>
      <w:rPr>
        <w:sz w:val="16"/>
      </w:rPr>
      <w:tab/>
    </w:r>
    <w:smartTag w:uri="urn:schemas-microsoft-com:office:smarttags" w:element="place">
      <w:smartTag w:uri="urn:schemas-microsoft-com:office:smarttags" w:element="date">
        <w:r>
          <w:rPr>
            <w:sz w:val="16"/>
          </w:rPr>
          <w:t>Norristown</w:t>
        </w:r>
      </w:smartTag>
      <w:smartTag w:uri="urn:schemas-microsoft-com:office:smarttags" w:element="PersonName">
        <w:r>
          <w:rPr>
            <w:sz w:val="16"/>
          </w:rPr>
          <w:t>,</w:t>
        </w:r>
      </w:smartTag>
      <w:r>
        <w:rPr>
          <w:sz w:val="16"/>
        </w:rPr>
        <w:t xml:space="preserve"> </w:t>
      </w:r>
      <w:smartTag w:uri="urn:schemas-microsoft-com:office:smarttags" w:element="State">
        <w:r>
          <w:rPr>
            <w:sz w:val="16"/>
          </w:rPr>
          <w:t>PA</w:t>
        </w:r>
      </w:smartTag>
      <w:r>
        <w:rPr>
          <w:sz w:val="16"/>
        </w:rPr>
        <w:t xml:space="preserve">  </w:t>
      </w:r>
      <w:smartTag w:uri="urn:schemas-microsoft-com:office:smarttags" w:element="PostalCode">
        <w:r>
          <w:rPr>
            <w:sz w:val="16"/>
          </w:rPr>
          <w:t>19403-2497</w:t>
        </w:r>
      </w:smartTag>
    </w:smartTag>
  </w:p>
  <w:p w:rsidR="00EB4CC6" w:rsidRDefault="00EB4CC6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9E"/>
    <w:rsid w:val="00091AAB"/>
    <w:rsid w:val="000B346F"/>
    <w:rsid w:val="000C1E19"/>
    <w:rsid w:val="001336E9"/>
    <w:rsid w:val="00162AEF"/>
    <w:rsid w:val="001C24DD"/>
    <w:rsid w:val="001D3243"/>
    <w:rsid w:val="002060D2"/>
    <w:rsid w:val="002736F9"/>
    <w:rsid w:val="002B5105"/>
    <w:rsid w:val="002B7F4B"/>
    <w:rsid w:val="00335A6C"/>
    <w:rsid w:val="003718FD"/>
    <w:rsid w:val="003C1DC4"/>
    <w:rsid w:val="004D29EE"/>
    <w:rsid w:val="006734C1"/>
    <w:rsid w:val="00704A85"/>
    <w:rsid w:val="007D438E"/>
    <w:rsid w:val="0083125D"/>
    <w:rsid w:val="008B2FBC"/>
    <w:rsid w:val="008E563A"/>
    <w:rsid w:val="00997C7C"/>
    <w:rsid w:val="00A3431C"/>
    <w:rsid w:val="00A9469E"/>
    <w:rsid w:val="00AF3F67"/>
    <w:rsid w:val="00B354AB"/>
    <w:rsid w:val="00D42AED"/>
    <w:rsid w:val="00D903EE"/>
    <w:rsid w:val="00E70292"/>
    <w:rsid w:val="00EA50E7"/>
    <w:rsid w:val="00EB4CC6"/>
    <w:rsid w:val="00EF2C2A"/>
    <w:rsid w:val="00F1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4A1904EC-C3B8-421E-B23C-F886E4A6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F67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F67"/>
    <w:rPr>
      <w:rFonts w:ascii="Arial" w:hAnsi="Arial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673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PJM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Diehl</dc:creator>
  <cp:lastModifiedBy>NAESB</cp:lastModifiedBy>
  <cp:revision>2</cp:revision>
  <dcterms:created xsi:type="dcterms:W3CDTF">2019-03-13T21:53:00Z</dcterms:created>
  <dcterms:modified xsi:type="dcterms:W3CDTF">2019-03-13T21:53:00Z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gFAACRwgU2+mnxkxZYFNifDWlvCl2KFvvE6EjP59SzGhLOmH741RpvAWtQrzRl57UZPSHhGH2tIUgzdv_x000d_
+9PxmHYO76QndpWRaoYS2nVjA722QuVRmEQYmM5Zb6AYPsD4OrqfQoheUUnwkatv+9PxmHYO76Qn_x000d_
dpWRaoYS2nVjA722QuVRmEQYmM5Zb6AYPsD4Orqft5/UVHtK0QiC3xDikXKqYrTgU5XTA/pGvgRc_x000d_
E/D48Z2An3LHeu8em</vt:lpwstr>
  </property>
  <property fmtid="{D5CDD505-2E9C-101B-9397-08002B2CF9AE}" pid="3" name="MAIL_MSG_ID2">
    <vt:lpwstr>a++Jp6AngKNByBIWiDHi4YzBiuJgIXOjITC+Vpe++C0TbfD3YvZugYs3ojK_x000d_
U0QKqpKX2NBc9wwci8cbQr0Hc/A4xnIMvdILZg==</vt:lpwstr>
  </property>
  <property fmtid="{D5CDD505-2E9C-101B-9397-08002B2CF9AE}" pid="4" name="RESPONSE_SENDER_NAME">
    <vt:lpwstr>sAAAE9kkUq3pEoKaUnZVvXEbiQ6I+wP/Hh0cMBEWDck+Aqc=</vt:lpwstr>
  </property>
  <property fmtid="{D5CDD505-2E9C-101B-9397-08002B2CF9AE}" pid="5" name="EMAIL_OWNER_ADDRESS">
    <vt:lpwstr>4AAA6DouqOs9baElwfZ+xmdwewRGSdpyUMVf+8sn19JVzf4ZRUXEyYV14A==</vt:lpwstr>
  </property>
</Properties>
</file>