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AA99" w14:textId="6122FE65" w:rsidR="003147F2" w:rsidRPr="001E72C2" w:rsidRDefault="001B475F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SRS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 xml:space="preserve">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35E7E70D" w:rsidR="003147F2" w:rsidRDefault="003147F2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F57A6">
        <w:rPr>
          <w:rFonts w:ascii="Arial" w:hAnsi="Arial" w:cs="Arial"/>
          <w:sz w:val="24"/>
          <w:szCs w:val="24"/>
        </w:rPr>
        <w:t>WEQ</w:t>
      </w:r>
      <w:proofErr w:type="spellEnd"/>
      <w:r w:rsidR="004F57A6">
        <w:rPr>
          <w:rFonts w:ascii="Arial" w:hAnsi="Arial" w:cs="Arial"/>
          <w:sz w:val="24"/>
          <w:szCs w:val="24"/>
        </w:rPr>
        <w:t>)</w:t>
      </w:r>
    </w:p>
    <w:p w14:paraId="24245B1C" w14:textId="1ED68F64" w:rsidR="00093960" w:rsidRPr="001E72C2" w:rsidRDefault="00093960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Subcommittee:</w:t>
      </w:r>
      <w:r>
        <w:rPr>
          <w:rFonts w:ascii="Arial" w:hAnsi="Arial" w:cs="Arial"/>
          <w:sz w:val="24"/>
          <w:szCs w:val="24"/>
        </w:rPr>
        <w:tab/>
      </w:r>
      <w:r w:rsidR="006E29A6" w:rsidRPr="006E29A6">
        <w:rPr>
          <w:rFonts w:ascii="Arial" w:hAnsi="Arial" w:cs="Arial"/>
          <w:sz w:val="24"/>
          <w:szCs w:val="24"/>
        </w:rPr>
        <w:t>B</w:t>
      </w:r>
      <w:r w:rsidR="006E29A6">
        <w:rPr>
          <w:rFonts w:ascii="Arial" w:hAnsi="Arial" w:cs="Arial"/>
          <w:sz w:val="24"/>
          <w:szCs w:val="24"/>
        </w:rPr>
        <w:t xml:space="preserve">usiness </w:t>
      </w:r>
      <w:r w:rsidR="006E29A6" w:rsidRPr="006E29A6">
        <w:rPr>
          <w:rFonts w:ascii="Arial" w:hAnsi="Arial" w:cs="Arial"/>
          <w:sz w:val="24"/>
          <w:szCs w:val="24"/>
        </w:rPr>
        <w:t>P</w:t>
      </w:r>
      <w:r w:rsidR="006E29A6">
        <w:rPr>
          <w:rFonts w:ascii="Arial" w:hAnsi="Arial" w:cs="Arial"/>
          <w:sz w:val="24"/>
          <w:szCs w:val="24"/>
        </w:rPr>
        <w:t xml:space="preserve">ractice </w:t>
      </w:r>
      <w:r w:rsidR="006E29A6" w:rsidRPr="006E29A6">
        <w:rPr>
          <w:rFonts w:ascii="Arial" w:hAnsi="Arial" w:cs="Arial"/>
          <w:sz w:val="24"/>
          <w:szCs w:val="24"/>
        </w:rPr>
        <w:t>S</w:t>
      </w:r>
      <w:r w:rsidR="006E29A6">
        <w:rPr>
          <w:rFonts w:ascii="Arial" w:hAnsi="Arial" w:cs="Arial"/>
          <w:sz w:val="24"/>
          <w:szCs w:val="24"/>
        </w:rPr>
        <w:t xml:space="preserve">ubcommittee </w:t>
      </w:r>
      <w:r w:rsidR="006E29A6" w:rsidRPr="006E29A6">
        <w:rPr>
          <w:rFonts w:ascii="Arial" w:hAnsi="Arial" w:cs="Arial"/>
          <w:sz w:val="24"/>
          <w:szCs w:val="24"/>
        </w:rPr>
        <w:t>-</w:t>
      </w:r>
      <w:r w:rsidR="006E29A6">
        <w:rPr>
          <w:rFonts w:ascii="Arial" w:hAnsi="Arial" w:cs="Arial"/>
          <w:sz w:val="24"/>
          <w:szCs w:val="24"/>
        </w:rPr>
        <w:t xml:space="preserve"> </w:t>
      </w:r>
      <w:r w:rsidR="006E29A6" w:rsidRPr="006E29A6">
        <w:rPr>
          <w:rFonts w:ascii="Arial" w:hAnsi="Arial" w:cs="Arial"/>
          <w:sz w:val="24"/>
          <w:szCs w:val="24"/>
        </w:rPr>
        <w:t>OASIS Subcommittee</w:t>
      </w:r>
      <w:r w:rsidR="006E29A6" w:rsidRPr="006E29A6">
        <w:rPr>
          <w:rFonts w:ascii="Arial" w:hAnsi="Arial" w:cs="Arial"/>
          <w:sz w:val="24"/>
          <w:szCs w:val="24"/>
        </w:rPr>
        <w:tab/>
      </w:r>
      <w:r w:rsidR="00AA1438">
        <w:rPr>
          <w:rFonts w:ascii="Arial" w:hAnsi="Arial" w:cs="Arial"/>
          <w:sz w:val="24"/>
          <w:szCs w:val="24"/>
        </w:rPr>
        <w:t xml:space="preserve"> </w:t>
      </w:r>
    </w:p>
    <w:p w14:paraId="2DDF6B3A" w14:textId="330FC48C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r w:rsidR="006E29A6" w:rsidRPr="006E29A6">
        <w:rPr>
          <w:rFonts w:ascii="Arial" w:hAnsi="Arial" w:cs="Arial"/>
          <w:sz w:val="22"/>
        </w:rPr>
        <w:t xml:space="preserve">2020 </w:t>
      </w:r>
      <w:proofErr w:type="spellStart"/>
      <w:r w:rsidR="006E29A6" w:rsidRPr="006E29A6">
        <w:rPr>
          <w:rFonts w:ascii="Arial" w:hAnsi="Arial" w:cs="Arial"/>
          <w:sz w:val="22"/>
        </w:rPr>
        <w:t>WEQ</w:t>
      </w:r>
      <w:proofErr w:type="spellEnd"/>
      <w:r w:rsidR="006E29A6" w:rsidRPr="006E29A6">
        <w:rPr>
          <w:rFonts w:ascii="Arial" w:hAnsi="Arial" w:cs="Arial"/>
          <w:sz w:val="22"/>
        </w:rPr>
        <w:t xml:space="preserve"> API </w:t>
      </w:r>
      <w:proofErr w:type="spellStart"/>
      <w:r w:rsidR="006E29A6" w:rsidRPr="006E29A6">
        <w:rPr>
          <w:rFonts w:ascii="Arial" w:hAnsi="Arial" w:cs="Arial"/>
          <w:sz w:val="22"/>
        </w:rPr>
        <w:t>2.a</w:t>
      </w:r>
      <w:proofErr w:type="spellEnd"/>
      <w:r w:rsidR="006E29A6" w:rsidRPr="006E29A6">
        <w:rPr>
          <w:rFonts w:ascii="Arial" w:hAnsi="Arial" w:cs="Arial"/>
          <w:sz w:val="22"/>
        </w:rPr>
        <w:t xml:space="preserve"> </w:t>
      </w:r>
      <w:r w:rsidR="006E29A6" w:rsidRPr="006E29A6">
        <w:rPr>
          <w:rFonts w:ascii="Arial" w:hAnsi="Arial" w:cs="Arial"/>
          <w:sz w:val="22"/>
        </w:rPr>
        <w:tab/>
      </w:r>
    </w:p>
    <w:p w14:paraId="6F216496" w14:textId="65BC0820" w:rsidR="003147F2" w:rsidRDefault="003147F2" w:rsidP="00A20E8B">
      <w:pP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2A1BB6" w:rsidRPr="002A1BB6">
        <w:rPr>
          <w:rFonts w:ascii="Arial" w:hAnsi="Arial" w:cs="Arial"/>
          <w:bCs/>
          <w:sz w:val="24"/>
          <w:szCs w:val="24"/>
        </w:rPr>
        <w:t>Standard Review Subcommittee (SRS)</w:t>
      </w:r>
    </w:p>
    <w:p w14:paraId="39F911DA" w14:textId="2053F67B" w:rsidR="002A1BB6" w:rsidRPr="001E72C2" w:rsidRDefault="003147F2" w:rsidP="00A20E8B">
      <w:pPr>
        <w:spacing w:before="120"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</w:t>
      </w:r>
      <w:r w:rsidR="00093960">
        <w:rPr>
          <w:rFonts w:ascii="Arial" w:hAnsi="Arial" w:cs="Arial"/>
          <w:sz w:val="24"/>
          <w:szCs w:val="24"/>
        </w:rPr>
        <w:tab/>
      </w:r>
      <w:r w:rsidR="002A1BB6">
        <w:rPr>
          <w:rFonts w:ascii="Arial" w:hAnsi="Arial" w:cs="Arial"/>
          <w:sz w:val="24"/>
          <w:szCs w:val="24"/>
        </w:rPr>
        <w:t>January 17, 2020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067D7E2A" w14:textId="74529387" w:rsidR="00E83FC9" w:rsidRDefault="00ED70B3" w:rsidP="00A20E8B">
      <w:pPr>
        <w:rPr>
          <w:rFonts w:cs="Arial"/>
        </w:rPr>
      </w:pPr>
      <w:r w:rsidRPr="00ED70B3">
        <w:rPr>
          <w:rFonts w:cs="Arial"/>
        </w:rPr>
        <w:t>The Standards Review Subcommittee (SRS) thanks th</w:t>
      </w:r>
      <w:r>
        <w:rPr>
          <w:rFonts w:cs="Arial"/>
        </w:rPr>
        <w:t>e Wholesale Electric Quadrant (</w:t>
      </w:r>
      <w:proofErr w:type="spellStart"/>
      <w:r>
        <w:rPr>
          <w:rFonts w:cs="Arial"/>
        </w:rPr>
        <w:t>WEQ</w:t>
      </w:r>
      <w:proofErr w:type="spellEnd"/>
      <w:r>
        <w:rPr>
          <w:rFonts w:cs="Arial"/>
        </w:rPr>
        <w:t>)</w:t>
      </w:r>
      <w:r w:rsidR="00AA1438">
        <w:rPr>
          <w:rFonts w:cs="Arial"/>
        </w:rPr>
        <w:t xml:space="preserve"> </w:t>
      </w:r>
      <w:r w:rsidR="006E29A6">
        <w:rPr>
          <w:rFonts w:cs="Arial"/>
        </w:rPr>
        <w:t xml:space="preserve">Joint </w:t>
      </w:r>
      <w:r w:rsidR="006E29A6" w:rsidRPr="006E29A6">
        <w:rPr>
          <w:rFonts w:cs="Arial"/>
        </w:rPr>
        <w:t xml:space="preserve">Business Practice </w:t>
      </w:r>
      <w:r w:rsidR="005507F6">
        <w:rPr>
          <w:rFonts w:cs="Arial"/>
        </w:rPr>
        <w:t xml:space="preserve">and </w:t>
      </w:r>
      <w:r w:rsidR="006E29A6" w:rsidRPr="006E29A6">
        <w:rPr>
          <w:rFonts w:cs="Arial"/>
        </w:rPr>
        <w:t>OASIS Subcommittee</w:t>
      </w:r>
      <w:r w:rsidR="005507F6">
        <w:rPr>
          <w:rFonts w:cs="Arial"/>
        </w:rPr>
        <w:t>’s</w:t>
      </w:r>
      <w:r w:rsidRPr="00ED70B3">
        <w:rPr>
          <w:rFonts w:cs="Arial"/>
        </w:rPr>
        <w:t xml:space="preserve"> and welcomes the opportunity to provide these </w:t>
      </w:r>
      <w:r w:rsidR="00E6728E">
        <w:rPr>
          <w:rFonts w:cs="Arial"/>
        </w:rPr>
        <w:t xml:space="preserve">late </w:t>
      </w:r>
      <w:r w:rsidRPr="00ED70B3">
        <w:rPr>
          <w:rFonts w:cs="Arial"/>
        </w:rPr>
        <w:t xml:space="preserve">comments relating to the </w:t>
      </w:r>
      <w:proofErr w:type="spellStart"/>
      <w:r w:rsidRPr="00ED70B3">
        <w:rPr>
          <w:rFonts w:cs="Arial"/>
        </w:rPr>
        <w:t>WEQ</w:t>
      </w:r>
      <w:proofErr w:type="spellEnd"/>
      <w:r w:rsidRPr="00ED70B3">
        <w:rPr>
          <w:rFonts w:cs="Arial"/>
        </w:rPr>
        <w:t xml:space="preserve"> Business Practice Standard proposed standards.</w:t>
      </w:r>
    </w:p>
    <w:p w14:paraId="78EAF893" w14:textId="23CCB04A" w:rsidR="00E83FC9" w:rsidRDefault="005507F6" w:rsidP="005507F6">
      <w:pPr>
        <w:pStyle w:val="ListParagraph"/>
        <w:numPr>
          <w:ilvl w:val="0"/>
          <w:numId w:val="11"/>
        </w:numPr>
        <w:rPr>
          <w:rFonts w:cs="Arial"/>
        </w:rPr>
      </w:pPr>
      <w:r w:rsidRPr="005507F6">
        <w:rPr>
          <w:rFonts w:cs="Arial"/>
        </w:rPr>
        <w:t xml:space="preserve">Reviewed </w:t>
      </w:r>
      <w:r>
        <w:rPr>
          <w:rFonts w:cs="Arial"/>
        </w:rPr>
        <w:t xml:space="preserve">proposed </w:t>
      </w:r>
      <w:r w:rsidR="00A062FF">
        <w:rPr>
          <w:rFonts w:cs="Arial"/>
        </w:rPr>
        <w:t xml:space="preserve">changes and additions to </w:t>
      </w:r>
      <w:proofErr w:type="spellStart"/>
      <w:r w:rsidRPr="005507F6">
        <w:rPr>
          <w:rFonts w:cs="Arial"/>
        </w:rPr>
        <w:t>WEQ</w:t>
      </w:r>
      <w:proofErr w:type="spellEnd"/>
      <w:r w:rsidRPr="005507F6">
        <w:rPr>
          <w:rFonts w:cs="Arial"/>
        </w:rPr>
        <w:t xml:space="preserve">-000-1 Abbreviations and Acronyms, and </w:t>
      </w:r>
      <w:proofErr w:type="spellStart"/>
      <w:r w:rsidRPr="005507F6">
        <w:rPr>
          <w:rFonts w:cs="Arial"/>
        </w:rPr>
        <w:t>WEQ</w:t>
      </w:r>
      <w:proofErr w:type="spellEnd"/>
      <w:r w:rsidRPr="005507F6">
        <w:rPr>
          <w:rFonts w:cs="Arial"/>
        </w:rPr>
        <w:t xml:space="preserve">-000-2 Definition of Terms, </w:t>
      </w:r>
      <w:r w:rsidR="00A062FF" w:rsidRPr="005507F6">
        <w:rPr>
          <w:rFonts w:cs="Arial"/>
        </w:rPr>
        <w:t>versus</w:t>
      </w:r>
      <w:r w:rsidRPr="005507F6">
        <w:rPr>
          <w:rFonts w:cs="Arial"/>
        </w:rPr>
        <w:t xml:space="preserve"> NERC Glossary.</w:t>
      </w:r>
      <w:r w:rsidR="00C6252A">
        <w:rPr>
          <w:rFonts w:cs="Arial"/>
        </w:rPr>
        <w:t xml:space="preserve"> </w:t>
      </w:r>
      <w:r w:rsidR="006138DF">
        <w:rPr>
          <w:rFonts w:cs="Arial"/>
        </w:rPr>
        <w:t xml:space="preserve"> </w:t>
      </w:r>
      <w:r w:rsidR="00CE380F">
        <w:rPr>
          <w:rFonts w:cs="Arial"/>
        </w:rPr>
        <w:t>Updated SRS working Glossary</w:t>
      </w:r>
    </w:p>
    <w:p w14:paraId="78201B97" w14:textId="1FF0127D" w:rsidR="00A20E8B" w:rsidRDefault="00661E2B" w:rsidP="00151FD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Reviewed </w:t>
      </w:r>
      <w:r w:rsidR="00151FD9" w:rsidRPr="00151FD9">
        <w:rPr>
          <w:rFonts w:cs="Arial"/>
        </w:rPr>
        <w:t xml:space="preserve">proposed </w:t>
      </w:r>
      <w:r w:rsidR="006A5D75">
        <w:rPr>
          <w:rFonts w:cs="Arial"/>
        </w:rPr>
        <w:t xml:space="preserve">new standard language to </w:t>
      </w:r>
      <w:proofErr w:type="spellStart"/>
      <w:r w:rsidR="006A5D75">
        <w:rPr>
          <w:rFonts w:cs="Arial"/>
        </w:rPr>
        <w:t>WEQ</w:t>
      </w:r>
      <w:proofErr w:type="spellEnd"/>
      <w:r w:rsidR="006A5D75">
        <w:rPr>
          <w:rFonts w:cs="Arial"/>
        </w:rPr>
        <w:t>-001 with no recommended changes</w:t>
      </w:r>
      <w:r w:rsidR="00867D82">
        <w:rPr>
          <w:rFonts w:cs="Arial"/>
        </w:rPr>
        <w:t>.</w:t>
      </w:r>
      <w:r w:rsidR="00FB7AD2">
        <w:rPr>
          <w:rFonts w:cs="Arial"/>
        </w:rPr>
        <w:t xml:space="preserve"> </w:t>
      </w:r>
      <w:r w:rsidR="00A20E8B" w:rsidRPr="00E83FC9">
        <w:rPr>
          <w:rFonts w:cs="Arial"/>
        </w:rPr>
        <w:t xml:space="preserve">  </w:t>
      </w:r>
    </w:p>
    <w:p w14:paraId="5801FF41" w14:textId="62811664" w:rsidR="00EF4007" w:rsidRDefault="00EF4007" w:rsidP="00151FD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Reviewed proposed changes to </w:t>
      </w:r>
      <w:proofErr w:type="spellStart"/>
      <w:r>
        <w:rPr>
          <w:rFonts w:cs="Arial"/>
        </w:rPr>
        <w:t>WEQ</w:t>
      </w:r>
      <w:proofErr w:type="spellEnd"/>
      <w:r>
        <w:rPr>
          <w:rFonts w:cs="Arial"/>
        </w:rPr>
        <w:t>-002 Template requirements with no recommended changes.</w:t>
      </w:r>
    </w:p>
    <w:p w14:paraId="0D44F793" w14:textId="55FDEBC5" w:rsidR="00190935" w:rsidRDefault="00190935" w:rsidP="00151FD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Reviewed proposed changes to </w:t>
      </w:r>
      <w:proofErr w:type="spellStart"/>
      <w:r>
        <w:rPr>
          <w:rFonts w:cs="Arial"/>
        </w:rPr>
        <w:t>WEQ</w:t>
      </w:r>
      <w:proofErr w:type="spellEnd"/>
      <w:r>
        <w:rPr>
          <w:rFonts w:cs="Arial"/>
        </w:rPr>
        <w:t>-003 Data Element Definitions.</w:t>
      </w:r>
    </w:p>
    <w:p w14:paraId="094ACCA5" w14:textId="7ED1984C" w:rsidR="0028035A" w:rsidRPr="00E83FC9" w:rsidRDefault="0028035A" w:rsidP="00151FD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Reviewed proposed changes and additions to </w:t>
      </w:r>
      <w:proofErr w:type="spellStart"/>
      <w:r>
        <w:rPr>
          <w:rFonts w:cs="Arial"/>
        </w:rPr>
        <w:t>WEQ</w:t>
      </w:r>
      <w:proofErr w:type="spellEnd"/>
      <w:r>
        <w:rPr>
          <w:rFonts w:cs="Arial"/>
        </w:rPr>
        <w:t xml:space="preserve">-013 </w:t>
      </w:r>
      <w:r w:rsidR="00274546">
        <w:rPr>
          <w:rFonts w:cs="Arial"/>
        </w:rPr>
        <w:t>Event Query/Response Requirements</w:t>
      </w:r>
    </w:p>
    <w:p w14:paraId="04A3FB01" w14:textId="4BF8B59D" w:rsidR="00ED70B3" w:rsidRDefault="001843F8" w:rsidP="00647057">
      <w:pPr>
        <w:rPr>
          <w:rFonts w:cs="Arial"/>
        </w:rPr>
      </w:pPr>
      <w:r w:rsidRPr="001843F8">
        <w:rPr>
          <w:rFonts w:cs="Arial"/>
        </w:rPr>
        <w:t>The SRS has reviewed each of the propose</w:t>
      </w:r>
      <w:r w:rsidR="001D1BD1">
        <w:rPr>
          <w:rFonts w:cs="Arial"/>
        </w:rPr>
        <w:t>d</w:t>
      </w:r>
      <w:r w:rsidR="00AC1E45">
        <w:rPr>
          <w:rFonts w:cs="Arial"/>
        </w:rPr>
        <w:t xml:space="preserve"> changes and additions to the </w:t>
      </w:r>
      <w:r w:rsidR="00AC1E45" w:rsidRPr="00AC1E45">
        <w:rPr>
          <w:rFonts w:cs="Arial"/>
        </w:rPr>
        <w:t>Wholesale Electric Quadrant (</w:t>
      </w:r>
      <w:proofErr w:type="spellStart"/>
      <w:r w:rsidR="00AC1E45" w:rsidRPr="00AC1E45">
        <w:rPr>
          <w:rFonts w:cs="Arial"/>
        </w:rPr>
        <w:t>WEQ</w:t>
      </w:r>
      <w:proofErr w:type="spellEnd"/>
      <w:r w:rsidR="00AC1E45" w:rsidRPr="00AC1E45">
        <w:rPr>
          <w:rFonts w:cs="Arial"/>
        </w:rPr>
        <w:t>) Business Practice</w:t>
      </w:r>
      <w:r w:rsidR="00AC1E45">
        <w:rPr>
          <w:rFonts w:cs="Arial"/>
        </w:rPr>
        <w:t xml:space="preserve"> Standards</w:t>
      </w:r>
      <w:r w:rsidR="001D1BD1">
        <w:rPr>
          <w:rFonts w:cs="Arial"/>
        </w:rPr>
        <w:t>,</w:t>
      </w:r>
      <w:r w:rsidR="00B520C2">
        <w:rPr>
          <w:rFonts w:cs="Arial"/>
        </w:rPr>
        <w:t xml:space="preserve"> and</w:t>
      </w:r>
      <w:r w:rsidR="00151FD9">
        <w:rPr>
          <w:rFonts w:cs="Arial"/>
        </w:rPr>
        <w:t xml:space="preserve"> </w:t>
      </w:r>
      <w:r w:rsidR="00ED04B7">
        <w:rPr>
          <w:rFonts w:cs="Arial"/>
        </w:rPr>
        <w:t>have</w:t>
      </w:r>
      <w:r w:rsidR="001D1BD1">
        <w:rPr>
          <w:rFonts w:cs="Arial"/>
        </w:rPr>
        <w:t xml:space="preserve"> no </w:t>
      </w:r>
      <w:r w:rsidR="001C7ED9">
        <w:rPr>
          <w:rFonts w:cs="Arial"/>
        </w:rPr>
        <w:t>further recommended additions</w:t>
      </w:r>
      <w:r w:rsidR="00AC1E45">
        <w:rPr>
          <w:rFonts w:cs="Arial"/>
        </w:rPr>
        <w:t xml:space="preserve"> or comments</w:t>
      </w:r>
      <w:r w:rsidR="00B520C2">
        <w:rPr>
          <w:rFonts w:cs="Arial"/>
        </w:rPr>
        <w:t>.</w:t>
      </w:r>
      <w:r w:rsidR="001D1BD1">
        <w:rPr>
          <w:rFonts w:cs="Arial"/>
        </w:rPr>
        <w:t xml:space="preserve"> </w:t>
      </w:r>
    </w:p>
    <w:p w14:paraId="1F5C2134" w14:textId="77777777" w:rsidR="00B520C2" w:rsidRDefault="00B520C2" w:rsidP="00647057">
      <w:pPr>
        <w:rPr>
          <w:rFonts w:cs="Arial"/>
        </w:rPr>
      </w:pPr>
    </w:p>
    <w:p w14:paraId="232DE6A5" w14:textId="77777777" w:rsidR="001D0284" w:rsidRPr="001D0284" w:rsidRDefault="001D0284" w:rsidP="001D0284">
      <w:pPr>
        <w:rPr>
          <w:rFonts w:cs="Arial"/>
        </w:rPr>
      </w:pPr>
      <w:r w:rsidRPr="001D0284">
        <w:rPr>
          <w:rFonts w:cs="Arial"/>
        </w:rPr>
        <w:t>Respectfully</w:t>
      </w:r>
    </w:p>
    <w:p w14:paraId="03A1DB89" w14:textId="32F5FC3F" w:rsidR="00ED70B3" w:rsidRDefault="001D0284" w:rsidP="001D0284">
      <w:pPr>
        <w:rPr>
          <w:rFonts w:cs="Arial"/>
        </w:rPr>
      </w:pPr>
      <w:r w:rsidRPr="001D0284">
        <w:rPr>
          <w:rFonts w:cs="Arial"/>
        </w:rPr>
        <w:t>Standard Review Subcommittee</w:t>
      </w:r>
    </w:p>
    <w:p w14:paraId="520B870B" w14:textId="77777777" w:rsidR="00ED70B3" w:rsidRPr="0095270E" w:rsidRDefault="00ED70B3" w:rsidP="00647057">
      <w:pPr>
        <w:rPr>
          <w:rFonts w:cs="Arial"/>
        </w:rPr>
      </w:pPr>
    </w:p>
    <w:sectPr w:rsidR="00ED70B3" w:rsidRPr="0095270E" w:rsidSect="00452E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4D0A2" w14:textId="77777777" w:rsidR="00405C26" w:rsidRDefault="00405C26" w:rsidP="002F33E1">
      <w:pPr>
        <w:spacing w:after="0" w:line="240" w:lineRule="auto"/>
      </w:pPr>
      <w:r>
        <w:separator/>
      </w:r>
    </w:p>
  </w:endnote>
  <w:endnote w:type="continuationSeparator" w:id="0">
    <w:p w14:paraId="49A1B401" w14:textId="77777777" w:rsidR="00405C26" w:rsidRDefault="00405C26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4FC1" w14:textId="77777777" w:rsidR="004F57A6" w:rsidRDefault="004F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D70E" w14:textId="77777777" w:rsidR="004F57A6" w:rsidRDefault="004F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C4CFD" w14:textId="77777777" w:rsidR="00405C26" w:rsidRDefault="00405C26" w:rsidP="002F33E1">
      <w:pPr>
        <w:spacing w:after="0" w:line="240" w:lineRule="auto"/>
      </w:pPr>
      <w:r>
        <w:separator/>
      </w:r>
    </w:p>
  </w:footnote>
  <w:footnote w:type="continuationSeparator" w:id="0">
    <w:p w14:paraId="73593669" w14:textId="77777777" w:rsidR="00405C26" w:rsidRDefault="00405C26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CB675" w14:textId="77777777" w:rsidR="004F57A6" w:rsidRDefault="004F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8F15" w14:textId="140C0E12"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F09" w14:textId="77777777" w:rsidR="004F57A6" w:rsidRDefault="004F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64276"/>
    <w:multiLevelType w:val="hybridMultilevel"/>
    <w:tmpl w:val="A614C3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2270C"/>
    <w:rsid w:val="00031D87"/>
    <w:rsid w:val="00061E85"/>
    <w:rsid w:val="00067224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1001B5"/>
    <w:rsid w:val="001059FE"/>
    <w:rsid w:val="0012240E"/>
    <w:rsid w:val="00134121"/>
    <w:rsid w:val="00151F37"/>
    <w:rsid w:val="00151FD9"/>
    <w:rsid w:val="00172713"/>
    <w:rsid w:val="001772A8"/>
    <w:rsid w:val="001843F8"/>
    <w:rsid w:val="00187AEF"/>
    <w:rsid w:val="00190935"/>
    <w:rsid w:val="001B13BE"/>
    <w:rsid w:val="001B475F"/>
    <w:rsid w:val="001B732E"/>
    <w:rsid w:val="001C7ED9"/>
    <w:rsid w:val="001D0284"/>
    <w:rsid w:val="001D176C"/>
    <w:rsid w:val="001D1BD1"/>
    <w:rsid w:val="00202BCA"/>
    <w:rsid w:val="00203A26"/>
    <w:rsid w:val="0020541C"/>
    <w:rsid w:val="002355DF"/>
    <w:rsid w:val="00260EE1"/>
    <w:rsid w:val="0026772C"/>
    <w:rsid w:val="00274546"/>
    <w:rsid w:val="0028035A"/>
    <w:rsid w:val="002952F0"/>
    <w:rsid w:val="002A1BB6"/>
    <w:rsid w:val="002A3983"/>
    <w:rsid w:val="002B0AB4"/>
    <w:rsid w:val="002C3E12"/>
    <w:rsid w:val="002C65A5"/>
    <w:rsid w:val="002F33E1"/>
    <w:rsid w:val="00305D2F"/>
    <w:rsid w:val="00307872"/>
    <w:rsid w:val="003147F2"/>
    <w:rsid w:val="00325955"/>
    <w:rsid w:val="003353F3"/>
    <w:rsid w:val="0034433E"/>
    <w:rsid w:val="0037148D"/>
    <w:rsid w:val="003A0EA2"/>
    <w:rsid w:val="003A3BA7"/>
    <w:rsid w:val="003B1438"/>
    <w:rsid w:val="003E0400"/>
    <w:rsid w:val="00402904"/>
    <w:rsid w:val="004034B1"/>
    <w:rsid w:val="00405C26"/>
    <w:rsid w:val="00410357"/>
    <w:rsid w:val="00437EEC"/>
    <w:rsid w:val="00443D53"/>
    <w:rsid w:val="004508B4"/>
    <w:rsid w:val="00452E62"/>
    <w:rsid w:val="004664E8"/>
    <w:rsid w:val="004C5B10"/>
    <w:rsid w:val="004C6772"/>
    <w:rsid w:val="004D23B6"/>
    <w:rsid w:val="004D45E1"/>
    <w:rsid w:val="004E2B99"/>
    <w:rsid w:val="004E6C0D"/>
    <w:rsid w:val="004F57A6"/>
    <w:rsid w:val="00516D76"/>
    <w:rsid w:val="00521CC6"/>
    <w:rsid w:val="005276DF"/>
    <w:rsid w:val="0054116A"/>
    <w:rsid w:val="00546961"/>
    <w:rsid w:val="005507F6"/>
    <w:rsid w:val="005A5485"/>
    <w:rsid w:val="005B43A0"/>
    <w:rsid w:val="005C1797"/>
    <w:rsid w:val="005D0373"/>
    <w:rsid w:val="005D0FC6"/>
    <w:rsid w:val="005E2D00"/>
    <w:rsid w:val="00606477"/>
    <w:rsid w:val="006138DF"/>
    <w:rsid w:val="00636184"/>
    <w:rsid w:val="00647057"/>
    <w:rsid w:val="00654666"/>
    <w:rsid w:val="00661E2B"/>
    <w:rsid w:val="006667C4"/>
    <w:rsid w:val="006A5D75"/>
    <w:rsid w:val="006E1827"/>
    <w:rsid w:val="006E29A6"/>
    <w:rsid w:val="006E6EE3"/>
    <w:rsid w:val="007048D6"/>
    <w:rsid w:val="00707B2C"/>
    <w:rsid w:val="0073706B"/>
    <w:rsid w:val="0073736C"/>
    <w:rsid w:val="00764DF1"/>
    <w:rsid w:val="00774975"/>
    <w:rsid w:val="00794819"/>
    <w:rsid w:val="007B06A5"/>
    <w:rsid w:val="007D440F"/>
    <w:rsid w:val="007F14A2"/>
    <w:rsid w:val="00820F0D"/>
    <w:rsid w:val="0082495F"/>
    <w:rsid w:val="008638C0"/>
    <w:rsid w:val="00864AB9"/>
    <w:rsid w:val="00867D04"/>
    <w:rsid w:val="00867D82"/>
    <w:rsid w:val="008A1243"/>
    <w:rsid w:val="008D64C7"/>
    <w:rsid w:val="008F2ACC"/>
    <w:rsid w:val="00901710"/>
    <w:rsid w:val="00935818"/>
    <w:rsid w:val="009404A2"/>
    <w:rsid w:val="0095270E"/>
    <w:rsid w:val="0096444B"/>
    <w:rsid w:val="0096651C"/>
    <w:rsid w:val="009B01B0"/>
    <w:rsid w:val="009D50DD"/>
    <w:rsid w:val="009E4661"/>
    <w:rsid w:val="009E4EB7"/>
    <w:rsid w:val="009F2D76"/>
    <w:rsid w:val="00A01D3A"/>
    <w:rsid w:val="00A062FF"/>
    <w:rsid w:val="00A1415A"/>
    <w:rsid w:val="00A20E8B"/>
    <w:rsid w:val="00A33BA5"/>
    <w:rsid w:val="00A63221"/>
    <w:rsid w:val="00A724BE"/>
    <w:rsid w:val="00A81045"/>
    <w:rsid w:val="00AA1438"/>
    <w:rsid w:val="00AA673F"/>
    <w:rsid w:val="00AB1B07"/>
    <w:rsid w:val="00AB76A1"/>
    <w:rsid w:val="00AB7CFD"/>
    <w:rsid w:val="00AC1E45"/>
    <w:rsid w:val="00AD1565"/>
    <w:rsid w:val="00AF25CC"/>
    <w:rsid w:val="00B06187"/>
    <w:rsid w:val="00B1447C"/>
    <w:rsid w:val="00B20E8A"/>
    <w:rsid w:val="00B25FE9"/>
    <w:rsid w:val="00B422F3"/>
    <w:rsid w:val="00B520C2"/>
    <w:rsid w:val="00B634D9"/>
    <w:rsid w:val="00BB7010"/>
    <w:rsid w:val="00BC6431"/>
    <w:rsid w:val="00BF4DC1"/>
    <w:rsid w:val="00C00049"/>
    <w:rsid w:val="00C10826"/>
    <w:rsid w:val="00C57017"/>
    <w:rsid w:val="00C6252A"/>
    <w:rsid w:val="00C813FD"/>
    <w:rsid w:val="00C85439"/>
    <w:rsid w:val="00C94CD4"/>
    <w:rsid w:val="00CE380F"/>
    <w:rsid w:val="00CE48B0"/>
    <w:rsid w:val="00CE6EF3"/>
    <w:rsid w:val="00CF5C19"/>
    <w:rsid w:val="00D045A3"/>
    <w:rsid w:val="00D07CF2"/>
    <w:rsid w:val="00D30C4C"/>
    <w:rsid w:val="00D355AA"/>
    <w:rsid w:val="00D36B54"/>
    <w:rsid w:val="00D75DDE"/>
    <w:rsid w:val="00D815F7"/>
    <w:rsid w:val="00D830D6"/>
    <w:rsid w:val="00D94FDA"/>
    <w:rsid w:val="00D97DC9"/>
    <w:rsid w:val="00DF107A"/>
    <w:rsid w:val="00E41C86"/>
    <w:rsid w:val="00E6728E"/>
    <w:rsid w:val="00E7249C"/>
    <w:rsid w:val="00E72E04"/>
    <w:rsid w:val="00E83BEF"/>
    <w:rsid w:val="00E83FC9"/>
    <w:rsid w:val="00E90EDB"/>
    <w:rsid w:val="00E93841"/>
    <w:rsid w:val="00E945BD"/>
    <w:rsid w:val="00EC4CA4"/>
    <w:rsid w:val="00ED04B7"/>
    <w:rsid w:val="00ED70B3"/>
    <w:rsid w:val="00EF34E3"/>
    <w:rsid w:val="00EF4007"/>
    <w:rsid w:val="00F06449"/>
    <w:rsid w:val="00F31079"/>
    <w:rsid w:val="00F35A38"/>
    <w:rsid w:val="00F54507"/>
    <w:rsid w:val="00F835D9"/>
    <w:rsid w:val="00F97A33"/>
    <w:rsid w:val="00FA3E78"/>
    <w:rsid w:val="00FB01D3"/>
    <w:rsid w:val="00FB7AD2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  <w15:docId w15:val="{3C164374-93EA-46B6-BE62-703D90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63F975B911449BAEF1AC21745862" ma:contentTypeVersion="7" ma:contentTypeDescription="Create a new document." ma:contentTypeScope="" ma:versionID="7e56485913021df8a5c28a30851b11cb">
  <xsd:schema xmlns:xsd="http://www.w3.org/2001/XMLSchema" xmlns:xs="http://www.w3.org/2001/XMLSchema" xmlns:p="http://schemas.microsoft.com/office/2006/metadata/properties" xmlns:ns3="70cb49b5-dcc5-4874-9753-29ef7ca08eb3" targetNamespace="http://schemas.microsoft.com/office/2006/metadata/properties" ma:root="true" ma:fieldsID="9f5e24a8716075b44a3527c8085fb5a0" ns3:_="">
    <xsd:import namespace="70cb49b5-dcc5-4874-9753-29ef7ca08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49b5-dcc5-4874-9753-29ef7ca08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4425D-2AB0-4661-91EF-19AFE1685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0F04BC-FA67-479C-8A21-961C48F7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49b5-dcc5-4874-9753-29ef7ca08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07AFB-B2EC-4832-8330-CAC063B7B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7A8519-E5A7-497C-B70B-7276768E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NAESB</cp:lastModifiedBy>
  <cp:revision>2</cp:revision>
  <cp:lastPrinted>2016-07-06T18:27:00Z</cp:lastPrinted>
  <dcterms:created xsi:type="dcterms:W3CDTF">2020-01-22T19:07:00Z</dcterms:created>
  <dcterms:modified xsi:type="dcterms:W3CDTF">2020-01-22T19:07:00Z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0x010100026263F975B911449BAEF1AC21745862</vt:lpwstr>
  </property>
</Properties>
</file>