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4808E9" w:rsidP="006041E9">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18</w:t>
      </w:r>
      <w:r w:rsidR="00B25C07">
        <w:rPr>
          <w:rFonts w:ascii="Times New Roman" w:hAnsi="Times New Roman" w:cs="Times New Roman"/>
          <w:b w:val="0"/>
        </w:rPr>
        <w:t>, 2015</w:t>
      </w:r>
    </w:p>
    <w:p w:rsidR="00AD2480" w:rsidRPr="005D1B94" w:rsidRDefault="00AD2480" w:rsidP="002C0E22">
      <w:pPr>
        <w:tabs>
          <w:tab w:val="left" w:pos="900"/>
        </w:tabs>
        <w:spacing w:after="120"/>
        <w:ind w:left="907" w:hanging="907"/>
        <w:jc w:val="both"/>
      </w:pPr>
      <w:r w:rsidRPr="005D1B94">
        <w:rPr>
          <w:b/>
        </w:rPr>
        <w:t>TO:</w:t>
      </w:r>
      <w:r w:rsidRPr="005D1B94">
        <w:tab/>
        <w:t>All Interested Parties</w:t>
      </w:r>
    </w:p>
    <w:p w:rsidR="00AD2480" w:rsidRPr="005D1B94" w:rsidRDefault="00AD2480" w:rsidP="002C0E22">
      <w:pPr>
        <w:tabs>
          <w:tab w:val="left" w:pos="900"/>
        </w:tabs>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B25C07">
        <w:rPr>
          <w:bCs/>
        </w:rPr>
        <w:t>Deputy Director</w:t>
      </w:r>
    </w:p>
    <w:p w:rsidR="00AD2480" w:rsidRPr="005D1B94" w:rsidRDefault="00AD2480" w:rsidP="002C0E22">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537D">
        <w:rPr>
          <w:b/>
          <w:bCs/>
        </w:rPr>
        <w:t>Update to the Board of Directors –</w:t>
      </w:r>
      <w:r w:rsidR="00B25C07">
        <w:rPr>
          <w:b/>
          <w:bCs/>
        </w:rPr>
        <w:t>RMQ Open Field Message Bus (Open FMB) Task Force</w:t>
      </w:r>
    </w:p>
    <w:p w:rsidR="00AD2480" w:rsidRPr="005D1B94" w:rsidRDefault="00AD2480" w:rsidP="002C0E22">
      <w:pPr>
        <w:jc w:val="both"/>
        <w:rPr>
          <w:b/>
        </w:rPr>
      </w:pPr>
    </w:p>
    <w:p w:rsidR="00AD2480" w:rsidRPr="0089652E" w:rsidRDefault="00AD2480" w:rsidP="002C0E22">
      <w:pPr>
        <w:spacing w:before="120" w:after="120"/>
        <w:jc w:val="both"/>
        <w:rPr>
          <w:b/>
          <w:bCs/>
        </w:rPr>
      </w:pPr>
      <w:r w:rsidRPr="0089652E">
        <w:rPr>
          <w:b/>
        </w:rPr>
        <w:t xml:space="preserve">Update on </w:t>
      </w:r>
      <w:r>
        <w:rPr>
          <w:b/>
        </w:rPr>
        <w:t xml:space="preserve">the </w:t>
      </w:r>
      <w:r w:rsidR="00B25C07">
        <w:rPr>
          <w:b/>
        </w:rPr>
        <w:t>OpenFMB Task Force</w:t>
      </w:r>
      <w:r w:rsidRPr="0089652E">
        <w:rPr>
          <w:b/>
        </w:rPr>
        <w:t>–</w:t>
      </w:r>
      <w:bookmarkStart w:id="0" w:name="_GoBack"/>
      <w:bookmarkEnd w:id="0"/>
    </w:p>
    <w:p w:rsidR="00110D43" w:rsidRDefault="00B60DCE" w:rsidP="002C0E22">
      <w:pPr>
        <w:autoSpaceDE w:val="0"/>
        <w:autoSpaceDN w:val="0"/>
        <w:adjustRightInd w:val="0"/>
        <w:jc w:val="both"/>
        <w:rPr>
          <w:rFonts w:ascii="TimesNewRomanPSMT" w:hAnsi="TimesNewRomanPSMT" w:cs="TimesNewRomanPSMT"/>
        </w:rPr>
      </w:pPr>
      <w:proofErr w:type="gramStart"/>
      <w:r>
        <w:rPr>
          <w:rFonts w:ascii="TimesNewRomanPSMT" w:hAnsi="TimesNewRomanPSMT" w:cs="TimesNewRomanPSMT"/>
        </w:rPr>
        <w:t xml:space="preserve">As previously reported, </w:t>
      </w:r>
      <w:r w:rsidR="00A95D88">
        <w:rPr>
          <w:rFonts w:ascii="TimesNewRomanPSMT" w:hAnsi="TimesNewRomanPSMT" w:cs="TimesNewRomanPSMT"/>
        </w:rPr>
        <w:t xml:space="preserve">the NAESB </w:t>
      </w:r>
      <w:r w:rsidR="00F25F96" w:rsidRPr="00E76441">
        <w:t xml:space="preserve">Open Field Message Bus (OpenFMB) </w:t>
      </w:r>
      <w:r w:rsidR="00A95D88">
        <w:rPr>
          <w:rFonts w:ascii="TimesNewRomanPSMT" w:hAnsi="TimesNewRomanPSMT" w:cs="TimesNewRomanPSMT"/>
        </w:rPr>
        <w:t xml:space="preserve">Task Force remains on track to complete the OpenFMB standards development effort </w:t>
      </w:r>
      <w:r w:rsidR="00C76382">
        <w:rPr>
          <w:rFonts w:ascii="TimesNewRomanPSMT" w:hAnsi="TimesNewRomanPSMT" w:cs="TimesNewRomanPSMT"/>
        </w:rPr>
        <w:t>by the close of this year</w:t>
      </w:r>
      <w:r w:rsidR="00A95D88">
        <w:rPr>
          <w:rFonts w:ascii="TimesNewRomanPSMT" w:hAnsi="TimesNewRomanPSMT" w:cs="TimesNewRomanPSMT"/>
        </w:rPr>
        <w:t>.</w:t>
      </w:r>
      <w:proofErr w:type="gramEnd"/>
      <w:r w:rsidR="00A95D88">
        <w:rPr>
          <w:rFonts w:ascii="TimesNewRomanPSMT" w:hAnsi="TimesNewRomanPSMT" w:cs="TimesNewRomanPSMT"/>
        </w:rPr>
        <w:t xml:space="preserve"> </w:t>
      </w:r>
      <w:r w:rsidR="00F25F96">
        <w:rPr>
          <w:rFonts w:ascii="TimesNewRomanPSMT" w:hAnsi="TimesNewRomanPSMT" w:cs="TimesNewRomanPSMT"/>
        </w:rPr>
        <w:t xml:space="preserve"> </w:t>
      </w:r>
      <w:r w:rsidR="00F25F96" w:rsidRPr="00E76441">
        <w:t xml:space="preserve">In response to Standards Request R14008, </w:t>
      </w:r>
      <w:r w:rsidR="00F25F96">
        <w:t xml:space="preserve">the task force, </w:t>
      </w:r>
      <w:r w:rsidR="00F25F96" w:rsidRPr="00E76441">
        <w:t>co-chaired by Joe Zhou of Ernst &amp; Young an</w:t>
      </w:r>
      <w:r w:rsidR="00F25F96">
        <w:t xml:space="preserve">d Stuart Laval of Duke Energy, is working to </w:t>
      </w:r>
      <w:r>
        <w:rPr>
          <w:rFonts w:ascii="TimesNewRomanPSMT" w:hAnsi="TimesNewRomanPSMT" w:cs="TimesNewRomanPSMT"/>
        </w:rPr>
        <w:t>define a framework and provide a specification for power systems field devices to leverage a non-proprietary and standards-based reference architecture, which consists of internet protocol (IP) networking and Internet of Things (</w:t>
      </w:r>
      <w:proofErr w:type="spellStart"/>
      <w:r>
        <w:rPr>
          <w:rFonts w:ascii="TimesNewRomanPSMT" w:hAnsi="TimesNewRomanPSMT" w:cs="TimesNewRomanPSMT"/>
        </w:rPr>
        <w:t>IoT</w:t>
      </w:r>
      <w:proofErr w:type="spellEnd"/>
      <w:r>
        <w:rPr>
          <w:rFonts w:ascii="TimesNewRomanPSMT" w:hAnsi="TimesNewRomanPSMT" w:cs="TimesNewRomanPSMT"/>
        </w:rPr>
        <w:t xml:space="preserve">) messaging protocols.  </w:t>
      </w:r>
    </w:p>
    <w:p w:rsidR="00D361BE" w:rsidRDefault="002C0E22" w:rsidP="00D361BE">
      <w:pPr>
        <w:spacing w:before="120"/>
        <w:jc w:val="both"/>
        <w:rPr>
          <w:rFonts w:ascii="TimesNewRomanPSMT" w:hAnsi="TimesNewRomanPSMT" w:cs="TimesNewRomanPSMT"/>
        </w:rPr>
      </w:pPr>
      <w:r>
        <w:rPr>
          <w:rFonts w:ascii="TimesNewRomanPSMT" w:hAnsi="TimesNewRomanPSMT" w:cs="TimesNewRomanPSMT"/>
        </w:rPr>
        <w:t xml:space="preserve">The biweekly </w:t>
      </w:r>
      <w:r w:rsidR="00B47B1B">
        <w:rPr>
          <w:rFonts w:ascii="TimesNewRomanPSMT" w:hAnsi="TimesNewRomanPSMT" w:cs="TimesNewRomanPSMT"/>
        </w:rPr>
        <w:t xml:space="preserve">NAESB OpenFMB </w:t>
      </w:r>
      <w:r w:rsidR="00BB42CA">
        <w:rPr>
          <w:rFonts w:ascii="TimesNewRomanPSMT" w:hAnsi="TimesNewRomanPSMT" w:cs="TimesNewRomanPSMT"/>
        </w:rPr>
        <w:t xml:space="preserve">Task Force </w:t>
      </w:r>
      <w:r>
        <w:rPr>
          <w:rFonts w:ascii="TimesNewRomanPSMT" w:hAnsi="TimesNewRomanPSMT" w:cs="TimesNewRomanPSMT"/>
        </w:rPr>
        <w:t xml:space="preserve">conference calls </w:t>
      </w:r>
      <w:r w:rsidR="00B47B1B">
        <w:rPr>
          <w:rFonts w:ascii="TimesNewRomanPSMT" w:hAnsi="TimesNewRomanPSMT" w:cs="TimesNewRomanPSMT"/>
        </w:rPr>
        <w:t xml:space="preserve">and meetings </w:t>
      </w:r>
      <w:r>
        <w:rPr>
          <w:rFonts w:ascii="TimesNewRomanPSMT" w:hAnsi="TimesNewRomanPSMT" w:cs="TimesNewRomanPSMT"/>
        </w:rPr>
        <w:t xml:space="preserve">focus on the development of </w:t>
      </w:r>
      <w:r w:rsidR="005E79CB">
        <w:rPr>
          <w:rFonts w:ascii="TimesNewRomanPSMT" w:hAnsi="TimesNewRomanPSMT" w:cs="TimesNewRomanPSMT"/>
        </w:rPr>
        <w:t xml:space="preserve">the core </w:t>
      </w:r>
      <w:r>
        <w:rPr>
          <w:rFonts w:ascii="TimesNewRomanPSMT" w:hAnsi="TimesNewRomanPSMT" w:cs="TimesNewRomanPSMT"/>
        </w:rPr>
        <w:t>Model Business Practices</w:t>
      </w:r>
      <w:r w:rsidR="005E79CB">
        <w:rPr>
          <w:rFonts w:ascii="TimesNewRomanPSMT" w:hAnsi="TimesNewRomanPSMT" w:cs="TimesNewRomanPSMT"/>
        </w:rPr>
        <w:t xml:space="preserve">, </w:t>
      </w:r>
      <w:r w:rsidR="008E695C">
        <w:rPr>
          <w:rFonts w:ascii="TimesNewRomanPSMT" w:hAnsi="TimesNewRomanPSMT" w:cs="TimesNewRomanPSMT"/>
        </w:rPr>
        <w:t xml:space="preserve">the </w:t>
      </w:r>
      <w:r w:rsidR="005E79CB">
        <w:rPr>
          <w:rFonts w:ascii="TimesNewRomanPSMT" w:hAnsi="TimesNewRomanPSMT" w:cs="TimesNewRomanPSMT"/>
        </w:rPr>
        <w:t>REQ.26 OpenFMB Model Business Practices,</w:t>
      </w:r>
      <w:r>
        <w:rPr>
          <w:rFonts w:ascii="TimesNewRomanPSMT" w:hAnsi="TimesNewRomanPSMT" w:cs="TimesNewRomanPSMT"/>
        </w:rPr>
        <w:t xml:space="preserve"> that </w:t>
      </w:r>
      <w:r w:rsidR="00B60DCE">
        <w:t xml:space="preserve">will </w:t>
      </w:r>
      <w:r w:rsidR="00B60DCE" w:rsidRPr="00E76441">
        <w:t xml:space="preserve">support the </w:t>
      </w:r>
      <w:proofErr w:type="spellStart"/>
      <w:r w:rsidR="00B60DCE" w:rsidRPr="00E76441">
        <w:t>OpenFMB</w:t>
      </w:r>
      <w:proofErr w:type="spellEnd"/>
      <w:r w:rsidR="00B60DCE" w:rsidRPr="00E76441">
        <w:t xml:space="preserve"> architecture </w:t>
      </w:r>
      <w:r w:rsidR="00B60DCE">
        <w:t>to be</w:t>
      </w:r>
      <w:r w:rsidR="00B60DCE" w:rsidRPr="000902A9">
        <w:rPr>
          <w:rFonts w:ascii="TimesNewRomanPSMT" w:hAnsi="TimesNewRomanPSMT" w:cs="TimesNewRomanPSMT"/>
        </w:rPr>
        <w:t xml:space="preserve"> used by utilities </w:t>
      </w:r>
      <w:r w:rsidR="00B60DCE">
        <w:rPr>
          <w:rFonts w:ascii="TimesNewRomanPSMT" w:hAnsi="TimesNewRomanPSMT" w:cs="TimesNewRomanPSMT"/>
        </w:rPr>
        <w:t xml:space="preserve">and vendors </w:t>
      </w:r>
      <w:r w:rsidR="00B60DCE" w:rsidRPr="000902A9">
        <w:rPr>
          <w:rFonts w:ascii="TimesNewRomanPSMT" w:hAnsi="TimesNewRomanPSMT" w:cs="TimesNewRomanPSMT"/>
        </w:rPr>
        <w:t xml:space="preserve">to </w:t>
      </w:r>
      <w:r w:rsidR="00B60DCE">
        <w:rPr>
          <w:rFonts w:ascii="TimesNewRomanPSMT" w:hAnsi="TimesNewRomanPSMT" w:cs="TimesNewRomanPSMT"/>
        </w:rPr>
        <w:t>create</w:t>
      </w:r>
      <w:r w:rsidR="00B60DCE" w:rsidRPr="000902A9">
        <w:rPr>
          <w:rFonts w:ascii="TimesNewRomanPSMT" w:hAnsi="TimesNewRomanPSMT" w:cs="TimesNewRomanPSMT"/>
        </w:rPr>
        <w:t xml:space="preserve"> the technical requirements </w:t>
      </w:r>
      <w:r w:rsidR="00B60DCE">
        <w:rPr>
          <w:rFonts w:ascii="TimesNewRomanPSMT" w:hAnsi="TimesNewRomanPSMT" w:cs="TimesNewRomanPSMT"/>
        </w:rPr>
        <w:t xml:space="preserve">for </w:t>
      </w:r>
      <w:r w:rsidR="00B60DCE" w:rsidRPr="000902A9">
        <w:rPr>
          <w:rFonts w:ascii="TimesNewRomanPSMT" w:hAnsi="TimesNewRomanPSMT" w:cs="TimesNewRomanPSMT"/>
        </w:rPr>
        <w:t>implement</w:t>
      </w:r>
      <w:r w:rsidR="00B60DCE">
        <w:rPr>
          <w:rFonts w:ascii="TimesNewRomanPSMT" w:hAnsi="TimesNewRomanPSMT" w:cs="TimesNewRomanPSMT"/>
        </w:rPr>
        <w:t xml:space="preserve">ing, on field devices, the ability </w:t>
      </w:r>
      <w:r w:rsidR="00B60DCE" w:rsidRPr="000902A9">
        <w:rPr>
          <w:rFonts w:ascii="TimesNewRomanPSMT" w:hAnsi="TimesNewRomanPSMT" w:cs="TimesNewRomanPSMT"/>
        </w:rPr>
        <w:t>to communicate directly with each other via a field message bus</w:t>
      </w:r>
      <w:r w:rsidR="00B60DCE">
        <w:rPr>
          <w:rFonts w:ascii="TimesNewRomanPSMT" w:hAnsi="TimesNewRomanPSMT" w:cs="TimesNewRomanPSMT"/>
        </w:rPr>
        <w:t>.</w:t>
      </w:r>
      <w:r w:rsidR="00B60DCE" w:rsidRPr="000902A9">
        <w:rPr>
          <w:rFonts w:ascii="TimesNewRomanPSMT" w:hAnsi="TimesNewRomanPSMT" w:cs="TimesNewRomanPSMT"/>
        </w:rPr>
        <w:t xml:space="preserve"> </w:t>
      </w:r>
      <w:r w:rsidR="00A756E8">
        <w:t>Following the general, operational, and management business practices that make up the bulk of the recommendation, the appendices will also contain important aspects of the project, including the XML Schema Definition (XSD) profiles, the sample use case scenarios, and Platform Independent Model (PIM) information.</w:t>
      </w:r>
    </w:p>
    <w:p w:rsidR="00415949" w:rsidRPr="00BB42CA" w:rsidRDefault="00B54758" w:rsidP="00BB42CA">
      <w:pPr>
        <w:spacing w:before="120"/>
        <w:jc w:val="both"/>
        <w:rPr>
          <w:rFonts w:ascii="TimesNewRomanPSMT" w:hAnsi="TimesNewRomanPSMT" w:cs="TimesNewRomanPSMT"/>
        </w:rPr>
      </w:pPr>
      <w:r>
        <w:rPr>
          <w:rFonts w:ascii="TimesNewRomanPSMT" w:hAnsi="TimesNewRomanPSMT" w:cs="TimesNewRomanPSMT"/>
        </w:rPr>
        <w:t>As part of ongoing coordination with external organizations, t</w:t>
      </w:r>
      <w:r w:rsidR="00D361BE">
        <w:rPr>
          <w:rFonts w:ascii="TimesNewRomanPSMT" w:hAnsi="TimesNewRomanPSMT" w:cs="TimesNewRomanPSMT"/>
        </w:rPr>
        <w:t xml:space="preserve">he OpenFMB Task Force and </w:t>
      </w:r>
      <w:r w:rsidR="00496FBD">
        <w:rPr>
          <w:rFonts w:ascii="TimesNewRomanPSMT" w:hAnsi="TimesNewRomanPSMT" w:cs="TimesNewRomanPSMT"/>
        </w:rPr>
        <w:t xml:space="preserve">the </w:t>
      </w:r>
      <w:r w:rsidR="00D361BE">
        <w:rPr>
          <w:rFonts w:ascii="TimesNewRomanPSMT" w:hAnsi="TimesNewRomanPSMT" w:cs="TimesNewRomanPSMT"/>
        </w:rPr>
        <w:t xml:space="preserve">NAESB staff have </w:t>
      </w:r>
      <w:r w:rsidR="00496FBD">
        <w:rPr>
          <w:rFonts w:ascii="TimesNewRomanPSMT" w:hAnsi="TimesNewRomanPSMT" w:cs="TimesNewRomanPSMT"/>
        </w:rPr>
        <w:t xml:space="preserve">maintained open lines of communication </w:t>
      </w:r>
      <w:r w:rsidR="00D361BE">
        <w:rPr>
          <w:rFonts w:ascii="TimesNewRomanPSMT" w:hAnsi="TimesNewRomanPSMT" w:cs="TimesNewRomanPSMT"/>
        </w:rPr>
        <w:t xml:space="preserve">with the Smart Grid Interoperability Panel (SGIP) to ensure </w:t>
      </w:r>
      <w:r w:rsidR="00496FBD">
        <w:rPr>
          <w:rFonts w:ascii="TimesNewRomanPSMT" w:hAnsi="TimesNewRomanPSMT" w:cs="TimesNewRomanPSMT"/>
        </w:rPr>
        <w:t xml:space="preserve">that the two organizations remain in lock step </w:t>
      </w:r>
      <w:r w:rsidR="00D361BE">
        <w:rPr>
          <w:rFonts w:ascii="TimesNewRomanPSMT" w:hAnsi="TimesNewRomanPSMT" w:cs="TimesNewRomanPSMT"/>
        </w:rPr>
        <w:t xml:space="preserve">on the project.  The SGIP has developed three Use Case Scenarios that have defined the preliminary scope of the model business practices and coordinated live demonstrations for the project.  </w:t>
      </w:r>
      <w:r w:rsidR="00AD07BB">
        <w:rPr>
          <w:rFonts w:ascii="TimesNewRomanPSMT" w:hAnsi="TimesNewRomanPSMT" w:cs="TimesNewRomanPSMT"/>
        </w:rPr>
        <w:t xml:space="preserve">The three use cases </w:t>
      </w:r>
      <w:r w:rsidR="00310544">
        <w:rPr>
          <w:rFonts w:ascii="TimesNewRomanPSMT" w:hAnsi="TimesNewRomanPSMT" w:cs="TimesNewRomanPSMT"/>
        </w:rPr>
        <w:t>include, t</w:t>
      </w:r>
      <w:r w:rsidR="00310544" w:rsidRPr="00310544">
        <w:rPr>
          <w:rFonts w:ascii="TimesNewRomanPSMT" w:hAnsi="TimesNewRomanPSMT" w:cs="TimesNewRomanPSMT"/>
        </w:rPr>
        <w:t>he Grid Connected Load Optimization</w:t>
      </w:r>
      <w:r w:rsidR="00310544">
        <w:rPr>
          <w:rFonts w:ascii="TimesNewRomanPSMT" w:hAnsi="TimesNewRomanPSMT" w:cs="TimesNewRomanPSMT"/>
        </w:rPr>
        <w:t xml:space="preserve"> scenario, addressing</w:t>
      </w:r>
      <w:r w:rsidR="00310544" w:rsidRPr="00310544">
        <w:rPr>
          <w:rFonts w:ascii="TimesNewRomanPSMT" w:hAnsi="TimesNewRomanPSMT" w:cs="TimesNewRomanPSMT"/>
        </w:rPr>
        <w:t xml:space="preserve"> the normal state of daily operations</w:t>
      </w:r>
      <w:r w:rsidR="00310544">
        <w:rPr>
          <w:rFonts w:ascii="TimesNewRomanPSMT" w:hAnsi="TimesNewRomanPSMT" w:cs="TimesNewRomanPSMT"/>
        </w:rPr>
        <w:t xml:space="preserve"> on a microgrid; the </w:t>
      </w:r>
      <w:r w:rsidR="00310544" w:rsidRPr="00310544">
        <w:rPr>
          <w:rFonts w:ascii="TimesNewRomanPSMT" w:hAnsi="TimesNewRomanPSMT" w:cs="TimesNewRomanPSMT"/>
        </w:rPr>
        <w:t>Islanded to Grid Connected Transition</w:t>
      </w:r>
      <w:r w:rsidR="00310544">
        <w:rPr>
          <w:rFonts w:ascii="TimesNewRomanPSMT" w:hAnsi="TimesNewRomanPSMT" w:cs="TimesNewRomanPSMT"/>
        </w:rPr>
        <w:t xml:space="preserve">, addressing </w:t>
      </w:r>
      <w:r w:rsidR="00310544" w:rsidRPr="00310544">
        <w:rPr>
          <w:rFonts w:ascii="TimesNewRomanPSMT" w:hAnsi="TimesNewRomanPSMT" w:cs="TimesNewRomanPSMT"/>
        </w:rPr>
        <w:t>resynchronization and reconnection during the transition from islanded mode to grid-connected microgrid</w:t>
      </w:r>
      <w:r w:rsidR="00310544">
        <w:rPr>
          <w:rFonts w:ascii="TimesNewRomanPSMT" w:hAnsi="TimesNewRomanPSMT" w:cs="TimesNewRomanPSMT"/>
        </w:rPr>
        <w:t>; and, t</w:t>
      </w:r>
      <w:r w:rsidR="00310544" w:rsidRPr="00310544">
        <w:rPr>
          <w:rFonts w:ascii="TimesNewRomanPSMT" w:hAnsi="TimesNewRomanPSMT" w:cs="TimesNewRomanPSMT"/>
        </w:rPr>
        <w:t xml:space="preserve">he Unintentional Islanding Transition use case </w:t>
      </w:r>
      <w:r w:rsidR="0037309B">
        <w:rPr>
          <w:rFonts w:ascii="TimesNewRomanPSMT" w:hAnsi="TimesNewRomanPSMT" w:cs="TimesNewRomanPSMT"/>
        </w:rPr>
        <w:t>addressing</w:t>
      </w:r>
      <w:r w:rsidR="00310544">
        <w:rPr>
          <w:rFonts w:ascii="TimesNewRomanPSMT" w:hAnsi="TimesNewRomanPSMT" w:cs="TimesNewRomanPSMT"/>
        </w:rPr>
        <w:t xml:space="preserve"> </w:t>
      </w:r>
      <w:r w:rsidR="00310544" w:rsidRPr="00310544">
        <w:rPr>
          <w:rFonts w:ascii="TimesNewRomanPSMT" w:hAnsi="TimesNewRomanPSMT" w:cs="TimesNewRomanPSMT"/>
        </w:rPr>
        <w:t xml:space="preserve">unplanned islanding.  EPRI, the SGIP, the </w:t>
      </w:r>
      <w:proofErr w:type="spellStart"/>
      <w:r w:rsidR="00310544" w:rsidRPr="00310544">
        <w:rPr>
          <w:rFonts w:ascii="TimesNewRomanPSMT" w:hAnsi="TimesNewRomanPSMT" w:cs="TimesNewRomanPSMT"/>
        </w:rPr>
        <w:t>UCAIug</w:t>
      </w:r>
      <w:proofErr w:type="spellEnd"/>
      <w:r w:rsidR="00310544" w:rsidRPr="00310544">
        <w:rPr>
          <w:rFonts w:ascii="TimesNewRomanPSMT" w:hAnsi="TimesNewRomanPSMT" w:cs="TimesNewRomanPSMT"/>
        </w:rPr>
        <w:t xml:space="preserve">, and the Industrial Internet Consortium (IIC) </w:t>
      </w:r>
      <w:r w:rsidR="0037309B">
        <w:rPr>
          <w:rFonts w:ascii="TimesNewRomanPSMT" w:hAnsi="TimesNewRomanPSMT" w:cs="TimesNewRomanPSMT"/>
        </w:rPr>
        <w:t>have</w:t>
      </w:r>
      <w:r w:rsidR="00310544" w:rsidRPr="00310544">
        <w:rPr>
          <w:rFonts w:ascii="TimesNewRomanPSMT" w:hAnsi="TimesNewRomanPSMT" w:cs="TimesNewRomanPSMT"/>
        </w:rPr>
        <w:t xml:space="preserve"> collaborat</w:t>
      </w:r>
      <w:r w:rsidR="0037309B">
        <w:rPr>
          <w:rFonts w:ascii="TimesNewRomanPSMT" w:hAnsi="TimesNewRomanPSMT" w:cs="TimesNewRomanPSMT"/>
        </w:rPr>
        <w:t>ed</w:t>
      </w:r>
      <w:r w:rsidR="00310544" w:rsidRPr="00310544">
        <w:rPr>
          <w:rFonts w:ascii="TimesNewRomanPSMT" w:hAnsi="TimesNewRomanPSMT" w:cs="TimesNewRomanPSMT"/>
        </w:rPr>
        <w:t xml:space="preserve"> to support and coordinate the testing activities based on the described use cases.  </w:t>
      </w:r>
      <w:r w:rsidR="002F4F81">
        <w:rPr>
          <w:rFonts w:ascii="TimesNewRomanPSMT" w:hAnsi="TimesNewRomanPSMT" w:cs="TimesNewRomanPSMT"/>
        </w:rPr>
        <w:t xml:space="preserve">EPRI and SGIP recently hosted live OpenFMB demonstrations and another demo is scheduled to be showcased at the February DistribuTECH conference.  </w:t>
      </w:r>
      <w:r w:rsidR="000649B3">
        <w:t>As the effort continues</w:t>
      </w:r>
      <w:r w:rsidR="0037309B">
        <w:t xml:space="preserve"> and more test beds are developed</w:t>
      </w:r>
      <w:r w:rsidR="000649B3">
        <w:t>, t</w:t>
      </w:r>
      <w:r>
        <w:t>he task f</w:t>
      </w:r>
      <w:r w:rsidR="00B64417">
        <w:t>orce</w:t>
      </w:r>
      <w:r w:rsidR="000649B3">
        <w:t xml:space="preserve"> will</w:t>
      </w:r>
      <w:r w:rsidR="00B64417">
        <w:t xml:space="preserve"> </w:t>
      </w:r>
      <w:r w:rsidR="000649B3">
        <w:t>leverage</w:t>
      </w:r>
      <w:r w:rsidR="00B64417">
        <w:t xml:space="preserve"> the input received from interested utilities to ex</w:t>
      </w:r>
      <w:r w:rsidR="000649B3">
        <w:t>pand the scope of the use cases for the project.</w:t>
      </w:r>
    </w:p>
    <w:p w:rsidR="00F95E52" w:rsidRPr="00675CA8" w:rsidRDefault="0044623F" w:rsidP="002C0E22">
      <w:pPr>
        <w:spacing w:before="120"/>
        <w:jc w:val="both"/>
        <w:rPr>
          <w:bCs/>
          <w:iCs/>
        </w:rPr>
      </w:pPr>
      <w:r w:rsidRPr="0044623F">
        <w:rPr>
          <w:rFonts w:ascii="TimesNewRomanPSMT" w:hAnsi="TimesNewRomanPSMT" w:cs="TimesNewRomanPSMT"/>
        </w:rPr>
        <w:t xml:space="preserve">To foster communications on </w:t>
      </w:r>
      <w:r>
        <w:rPr>
          <w:rFonts w:ascii="TimesNewRomanPSMT" w:hAnsi="TimesNewRomanPSMT" w:cs="TimesNewRomanPSMT"/>
        </w:rPr>
        <w:t>the OpenFMB</w:t>
      </w:r>
      <w:r w:rsidRPr="0044623F">
        <w:rPr>
          <w:rFonts w:ascii="TimesNewRomanPSMT" w:hAnsi="TimesNewRomanPSMT" w:cs="TimesNewRomanPSMT"/>
        </w:rPr>
        <w:t xml:space="preserve"> </w:t>
      </w:r>
      <w:r>
        <w:rPr>
          <w:rFonts w:ascii="TimesNewRomanPSMT" w:hAnsi="TimesNewRomanPSMT" w:cs="TimesNewRomanPSMT"/>
        </w:rPr>
        <w:t xml:space="preserve">standards development effort </w:t>
      </w:r>
      <w:r w:rsidRPr="0044623F">
        <w:rPr>
          <w:rFonts w:ascii="TimesNewRomanPSMT" w:hAnsi="TimesNewRomanPSMT" w:cs="TimesNewRomanPSMT"/>
        </w:rPr>
        <w:t xml:space="preserve">among industry participants, NAESB has included discussion on the topic as an item on the Board Leadership, Executive Committee, and Monthly Update agendas as well as in discussions with FERC and state commission staff members.  </w:t>
      </w:r>
    </w:p>
    <w:sectPr w:rsidR="00F95E52" w:rsidRPr="00675CA8"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8EB" w:rsidRDefault="00A308EB">
      <w:r>
        <w:separator/>
      </w:r>
    </w:p>
  </w:endnote>
  <w:endnote w:type="continuationSeparator" w:id="0">
    <w:p w:rsidR="00A308EB" w:rsidRDefault="00A3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37C" w:rsidRPr="00176FB9" w:rsidRDefault="006C037C" w:rsidP="005E6421">
    <w:pPr>
      <w:pStyle w:val="Footer"/>
      <w:pBdr>
        <w:top w:val="single" w:sz="12" w:space="1" w:color="auto"/>
      </w:pBdr>
      <w:jc w:val="right"/>
      <w:rPr>
        <w:sz w:val="18"/>
        <w:szCs w:val="18"/>
      </w:rPr>
    </w:pPr>
    <w:r>
      <w:rPr>
        <w:sz w:val="18"/>
        <w:szCs w:val="18"/>
      </w:rPr>
      <w:t>Update to the Board of Directors – RMQ OpenFMB</w:t>
    </w:r>
  </w:p>
  <w:p w:rsidR="006C037C" w:rsidRPr="00176FB9" w:rsidRDefault="006C037C"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8EB" w:rsidRDefault="00A308EB">
      <w:r>
        <w:separator/>
      </w:r>
    </w:p>
  </w:footnote>
  <w:footnote w:type="continuationSeparator" w:id="0">
    <w:p w:rsidR="00A308EB" w:rsidRDefault="00A30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37C" w:rsidRPr="00D65256" w:rsidRDefault="006C037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37C" w:rsidRDefault="006C037C"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E04C2B" w:rsidRDefault="00E04C2B"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C037C" w:rsidRPr="00D65256" w:rsidRDefault="006C037C"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C037C" w:rsidRPr="00D65256" w:rsidRDefault="006C037C"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6C037C" w:rsidRPr="003019B2" w:rsidRDefault="006C037C"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C037C" w:rsidRPr="00D65256" w:rsidRDefault="006C037C"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6C037C" w:rsidRDefault="006C03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9B3"/>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2A9"/>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84E"/>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0D43"/>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2526"/>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6A84"/>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0F47"/>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E22"/>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4F81"/>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0544"/>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9EB"/>
    <w:rsid w:val="00371C4B"/>
    <w:rsid w:val="00372234"/>
    <w:rsid w:val="0037239E"/>
    <w:rsid w:val="00372AC9"/>
    <w:rsid w:val="00372AE1"/>
    <w:rsid w:val="00372AF3"/>
    <w:rsid w:val="0037309B"/>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128"/>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23F"/>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8E9"/>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494"/>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FBD"/>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2C8"/>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930"/>
    <w:rsid w:val="00522F9C"/>
    <w:rsid w:val="00522FCA"/>
    <w:rsid w:val="0052332E"/>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0B0"/>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51"/>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9CB"/>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41E9"/>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772"/>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37C"/>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695C"/>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92"/>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8EB"/>
    <w:rsid w:val="00A30B46"/>
    <w:rsid w:val="00A30C5A"/>
    <w:rsid w:val="00A30E30"/>
    <w:rsid w:val="00A311DF"/>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6E8"/>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3DE"/>
    <w:rsid w:val="00A92AB2"/>
    <w:rsid w:val="00A92B2C"/>
    <w:rsid w:val="00A93DB3"/>
    <w:rsid w:val="00A93FF3"/>
    <w:rsid w:val="00A94A67"/>
    <w:rsid w:val="00A94BC2"/>
    <w:rsid w:val="00A94C74"/>
    <w:rsid w:val="00A95248"/>
    <w:rsid w:val="00A95CA1"/>
    <w:rsid w:val="00A95D84"/>
    <w:rsid w:val="00A95D88"/>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07BB"/>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B1B"/>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758"/>
    <w:rsid w:val="00B54946"/>
    <w:rsid w:val="00B54DB3"/>
    <w:rsid w:val="00B5505A"/>
    <w:rsid w:val="00B550B3"/>
    <w:rsid w:val="00B550CE"/>
    <w:rsid w:val="00B551CA"/>
    <w:rsid w:val="00B55783"/>
    <w:rsid w:val="00B56005"/>
    <w:rsid w:val="00B56B11"/>
    <w:rsid w:val="00B5714B"/>
    <w:rsid w:val="00B57302"/>
    <w:rsid w:val="00B57A98"/>
    <w:rsid w:val="00B60C6D"/>
    <w:rsid w:val="00B60DCE"/>
    <w:rsid w:val="00B6166C"/>
    <w:rsid w:val="00B6293E"/>
    <w:rsid w:val="00B629ED"/>
    <w:rsid w:val="00B6387A"/>
    <w:rsid w:val="00B63975"/>
    <w:rsid w:val="00B64417"/>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2CA"/>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79"/>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82"/>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1BE"/>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4D7"/>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18F"/>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51B6"/>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96"/>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278"/>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5E52"/>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2015-11-18T23:54:00Z</dcterms:created>
  <dcterms:modified xsi:type="dcterms:W3CDTF">2015-11-18T23:54:00Z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