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3F37074C" w:rsidR="00AD2480" w:rsidRPr="005F7B79" w:rsidRDefault="005B5B18" w:rsidP="00520822">
      <w:pPr>
        <w:pStyle w:val="Heading5"/>
        <w:tabs>
          <w:tab w:val="left" w:pos="900"/>
        </w:tabs>
        <w:ind w:left="5760" w:firstLine="720"/>
        <w:jc w:val="right"/>
        <w:rPr>
          <w:rFonts w:ascii="Times New Roman" w:hAnsi="Times New Roman" w:cs="Times New Roman"/>
          <w:b w:val="0"/>
        </w:rPr>
      </w:pPr>
      <w:r w:rsidRPr="005F7B79">
        <w:rPr>
          <w:rFonts w:ascii="Times New Roman" w:hAnsi="Times New Roman" w:cs="Times New Roman"/>
          <w:b w:val="0"/>
        </w:rPr>
        <w:t>October 1</w:t>
      </w:r>
      <w:r w:rsidR="005F7B79">
        <w:rPr>
          <w:rFonts w:ascii="Times New Roman" w:hAnsi="Times New Roman" w:cs="Times New Roman"/>
          <w:b w:val="0"/>
        </w:rPr>
        <w:t>7</w:t>
      </w:r>
      <w:r w:rsidR="00EC17E5" w:rsidRPr="005F7B79">
        <w:rPr>
          <w:rFonts w:ascii="Times New Roman" w:hAnsi="Times New Roman" w:cs="Times New Roman"/>
          <w:b w:val="0"/>
        </w:rPr>
        <w:t>, 2019</w:t>
      </w:r>
    </w:p>
    <w:p w14:paraId="7E93D79D" w14:textId="6A1F6E24" w:rsidR="00AD2480" w:rsidRPr="005F7B79" w:rsidRDefault="00AD2480" w:rsidP="00520822">
      <w:pPr>
        <w:tabs>
          <w:tab w:val="left" w:pos="900"/>
        </w:tabs>
        <w:spacing w:before="120"/>
        <w:ind w:left="907" w:hanging="907"/>
      </w:pPr>
      <w:r w:rsidRPr="005F7B79">
        <w:rPr>
          <w:b/>
        </w:rPr>
        <w:t>TO:</w:t>
      </w:r>
      <w:r w:rsidRPr="005F7B79">
        <w:tab/>
      </w:r>
      <w:r w:rsidR="00B07133" w:rsidRPr="005F7B79">
        <w:t>All Interested Parties</w:t>
      </w:r>
    </w:p>
    <w:p w14:paraId="08C3A889" w14:textId="77777777" w:rsidR="00AD2480" w:rsidRPr="005F7B79" w:rsidRDefault="00AD2480" w:rsidP="00520822">
      <w:pPr>
        <w:tabs>
          <w:tab w:val="left" w:pos="900"/>
        </w:tabs>
        <w:spacing w:before="120"/>
        <w:ind w:left="907" w:hanging="907"/>
        <w:jc w:val="both"/>
        <w:rPr>
          <w:bCs/>
        </w:rPr>
      </w:pPr>
      <w:r w:rsidRPr="005F7B79">
        <w:rPr>
          <w:b/>
          <w:bCs/>
        </w:rPr>
        <w:t>FROM:</w:t>
      </w:r>
      <w:r w:rsidRPr="005F7B79">
        <w:rPr>
          <w:b/>
          <w:bCs/>
        </w:rPr>
        <w:tab/>
      </w:r>
      <w:r w:rsidRPr="005F7B79">
        <w:rPr>
          <w:b/>
          <w:bCs/>
        </w:rPr>
        <w:tab/>
      </w:r>
      <w:r w:rsidR="00E45317" w:rsidRPr="005F7B79">
        <w:rPr>
          <w:bCs/>
        </w:rPr>
        <w:t>Elizabeth Mallett</w:t>
      </w:r>
      <w:r w:rsidR="00C37EDC" w:rsidRPr="005F7B79">
        <w:rPr>
          <w:bCs/>
        </w:rPr>
        <w:t xml:space="preserve">, NAESB </w:t>
      </w:r>
      <w:r w:rsidR="00B25C07" w:rsidRPr="005F7B79">
        <w:rPr>
          <w:bCs/>
        </w:rPr>
        <w:t>Deputy Director</w:t>
      </w:r>
    </w:p>
    <w:p w14:paraId="7F52AF61" w14:textId="162D7EEA" w:rsidR="009C6193" w:rsidRPr="005F7B79" w:rsidRDefault="00FF29BA" w:rsidP="009F2B37">
      <w:pPr>
        <w:pBdr>
          <w:bottom w:val="single" w:sz="12" w:space="1" w:color="auto"/>
        </w:pBdr>
        <w:tabs>
          <w:tab w:val="left" w:pos="900"/>
        </w:tabs>
        <w:spacing w:before="120"/>
        <w:ind w:left="900" w:hanging="900"/>
        <w:jc w:val="both"/>
        <w:rPr>
          <w:rFonts w:ascii="TimesNewRomanPSMT" w:hAnsi="TimesNewRomanPSMT" w:cs="TimesNewRomanPSMT"/>
        </w:rPr>
      </w:pPr>
      <w:r w:rsidRPr="005F7B79">
        <w:rPr>
          <w:b/>
          <w:bCs/>
        </w:rPr>
        <w:t>RE:</w:t>
      </w:r>
      <w:r w:rsidR="00262803" w:rsidRPr="005F7B79">
        <w:rPr>
          <w:b/>
          <w:bCs/>
        </w:rPr>
        <w:tab/>
        <w:t>Renewable Energy C</w:t>
      </w:r>
      <w:r w:rsidR="005A2112" w:rsidRPr="005F7B79">
        <w:rPr>
          <w:b/>
          <w:bCs/>
        </w:rPr>
        <w:t>ertificates</w:t>
      </w:r>
      <w:r w:rsidR="00D15FA9" w:rsidRPr="005F7B79">
        <w:rPr>
          <w:b/>
          <w:bCs/>
        </w:rPr>
        <w:t xml:space="preserve"> </w:t>
      </w:r>
      <w:r w:rsidR="009C6193" w:rsidRPr="005F7B79">
        <w:rPr>
          <w:b/>
          <w:bCs/>
        </w:rPr>
        <w:t>Update</w:t>
      </w:r>
    </w:p>
    <w:p w14:paraId="4C53AD60" w14:textId="1443B443" w:rsidR="00122212" w:rsidRDefault="00E46AA5" w:rsidP="008D7D1B">
      <w:pPr>
        <w:spacing w:before="120"/>
        <w:jc w:val="both"/>
      </w:pPr>
      <w:r>
        <w:rPr>
          <w:bCs/>
          <w:iCs/>
        </w:rPr>
        <w:t xml:space="preserve">During the October RMQ and WEQ Executive Committee meetings, </w:t>
      </w:r>
      <w:r w:rsidR="009B4840">
        <w:rPr>
          <w:bCs/>
          <w:iCs/>
        </w:rPr>
        <w:t xml:space="preserve">the 2019 and 2020 Annual Plans </w:t>
      </w:r>
      <w:r w:rsidR="00034DA7">
        <w:rPr>
          <w:bCs/>
          <w:iCs/>
        </w:rPr>
        <w:t xml:space="preserve">for both quadrants </w:t>
      </w:r>
      <w:r>
        <w:rPr>
          <w:bCs/>
          <w:iCs/>
        </w:rPr>
        <w:t>were modified t</w:t>
      </w:r>
      <w:r w:rsidR="009B4840">
        <w:rPr>
          <w:bCs/>
          <w:iCs/>
        </w:rPr>
        <w:t xml:space="preserve">o </w:t>
      </w:r>
      <w:r>
        <w:rPr>
          <w:bCs/>
          <w:iCs/>
        </w:rPr>
        <w:t xml:space="preserve">include a joint assignment to </w:t>
      </w:r>
      <w:r w:rsidR="00721E97">
        <w:rPr>
          <w:bCs/>
          <w:iCs/>
        </w:rPr>
        <w:t xml:space="preserve">the </w:t>
      </w:r>
      <w:r w:rsidR="009B4840">
        <w:rPr>
          <w:bCs/>
          <w:iCs/>
        </w:rPr>
        <w:t>WEQ and RMQ Business Practices Subcommittees</w:t>
      </w:r>
      <w:r w:rsidR="00D41770">
        <w:rPr>
          <w:bCs/>
          <w:iCs/>
        </w:rPr>
        <w:t xml:space="preserve"> – 2019 RMQ Annual Plan Item 7.b and 2019 WEQ Annual Plan Item 7.</w:t>
      </w:r>
      <w:proofErr w:type="gramStart"/>
      <w:r w:rsidR="00D41770">
        <w:rPr>
          <w:bCs/>
          <w:iCs/>
        </w:rPr>
        <w:t>b.ii</w:t>
      </w:r>
      <w:r w:rsidR="00122212">
        <w:rPr>
          <w:bCs/>
          <w:iCs/>
        </w:rPr>
        <w:t>.</w:t>
      </w:r>
      <w:proofErr w:type="gramEnd"/>
      <w:r w:rsidR="00122212">
        <w:rPr>
          <w:bCs/>
          <w:iCs/>
        </w:rPr>
        <w:t xml:space="preserve"> </w:t>
      </w:r>
      <w:r w:rsidR="00721E97">
        <w:rPr>
          <w:bCs/>
          <w:iCs/>
        </w:rPr>
        <w:t>Th</w:t>
      </w:r>
      <w:r>
        <w:rPr>
          <w:bCs/>
          <w:iCs/>
        </w:rPr>
        <w:t>e annual plan item</w:t>
      </w:r>
      <w:r w:rsidR="00D41770">
        <w:rPr>
          <w:bCs/>
          <w:iCs/>
        </w:rPr>
        <w:t>s</w:t>
      </w:r>
      <w:r>
        <w:rPr>
          <w:bCs/>
          <w:iCs/>
        </w:rPr>
        <w:t xml:space="preserve"> </w:t>
      </w:r>
      <w:r w:rsidR="00721E97">
        <w:rPr>
          <w:bCs/>
          <w:iCs/>
        </w:rPr>
        <w:t xml:space="preserve">call for </w:t>
      </w:r>
      <w:r w:rsidR="009B4840">
        <w:rPr>
          <w:bCs/>
          <w:iCs/>
        </w:rPr>
        <w:t xml:space="preserve">the </w:t>
      </w:r>
      <w:r w:rsidR="009B4840" w:rsidRPr="005F7B79">
        <w:t>develop</w:t>
      </w:r>
      <w:r w:rsidR="009B4840">
        <w:t>ment of</w:t>
      </w:r>
      <w:r w:rsidR="009B4840" w:rsidRPr="005F7B79">
        <w:t xml:space="preserve"> a standard contract to improve and automate the current </w:t>
      </w:r>
      <w:r w:rsidR="009B4840">
        <w:t>v</w:t>
      </w:r>
      <w:r w:rsidR="009B4840" w:rsidRPr="005F7B79">
        <w:t xml:space="preserve">oluntary </w:t>
      </w:r>
      <w:r w:rsidR="00D41770">
        <w:t>Renewable Energy Certificate (</w:t>
      </w:r>
      <w:r w:rsidR="009B4840" w:rsidRPr="005F7B79">
        <w:t>REC</w:t>
      </w:r>
      <w:r w:rsidR="00D41770">
        <w:t>)</w:t>
      </w:r>
      <w:r w:rsidR="009B4840" w:rsidRPr="005F7B79">
        <w:t xml:space="preserve"> creation, accounting, and retirement processes</w:t>
      </w:r>
      <w:r w:rsidR="009B4840">
        <w:t>.</w:t>
      </w:r>
      <w:r w:rsidR="00122212" w:rsidRPr="00122212">
        <w:rPr>
          <w:bCs/>
          <w:iCs/>
        </w:rPr>
        <w:t xml:space="preserve"> </w:t>
      </w:r>
      <w:r w:rsidR="00122212">
        <w:rPr>
          <w:bCs/>
          <w:iCs/>
        </w:rPr>
        <w:t xml:space="preserve">As you may </w:t>
      </w:r>
      <w:r w:rsidR="00034DA7">
        <w:rPr>
          <w:bCs/>
          <w:iCs/>
        </w:rPr>
        <w:t>know</w:t>
      </w:r>
      <w:r w:rsidR="00122212">
        <w:rPr>
          <w:bCs/>
          <w:iCs/>
        </w:rPr>
        <w:t>, a</w:t>
      </w:r>
      <w:r w:rsidR="00122212" w:rsidRPr="005F7B79">
        <w:rPr>
          <w:bCs/>
          <w:iCs/>
        </w:rPr>
        <w:t xml:space="preserve"> REC is a unique, trackable instrument representing the right to claim 1 MW of Renewable Energy delivered to the grid.</w:t>
      </w:r>
      <w:r w:rsidR="00DB68CA" w:rsidRPr="00DB68CA">
        <w:t xml:space="preserve"> </w:t>
      </w:r>
      <w:r w:rsidR="00DB68CA" w:rsidRPr="00DB68CA">
        <w:rPr>
          <w:bCs/>
          <w:iCs/>
        </w:rPr>
        <w:t xml:space="preserve">RECs were originally designed as a compliance instrument for Renewable Portfolio Standards (RPS) but in recent years have become popular for use in the voluntary market to verify corporate renewable consumption claims.  RECs </w:t>
      </w:r>
      <w:r w:rsidR="00DB68CA">
        <w:rPr>
          <w:bCs/>
          <w:iCs/>
        </w:rPr>
        <w:t xml:space="preserve">that are </w:t>
      </w:r>
      <w:r w:rsidR="00DB68CA" w:rsidRPr="00DB68CA">
        <w:rPr>
          <w:bCs/>
          <w:iCs/>
        </w:rPr>
        <w:t>used to meet jurisdictional</w:t>
      </w:r>
      <w:r w:rsidR="00DB68CA">
        <w:rPr>
          <w:bCs/>
          <w:iCs/>
        </w:rPr>
        <w:t xml:space="preserve"> or </w:t>
      </w:r>
      <w:r w:rsidR="00DB68CA" w:rsidRPr="00DB68CA">
        <w:rPr>
          <w:bCs/>
          <w:iCs/>
        </w:rPr>
        <w:t xml:space="preserve">RPS requirements are typically tracked by a regional registry; however, in the voluntary market, RECs are </w:t>
      </w:r>
      <w:r w:rsidR="00DB68CA">
        <w:rPr>
          <w:bCs/>
          <w:iCs/>
        </w:rPr>
        <w:t xml:space="preserve">mainly </w:t>
      </w:r>
      <w:r w:rsidR="00DB68CA" w:rsidRPr="00DB68CA">
        <w:rPr>
          <w:bCs/>
          <w:iCs/>
        </w:rPr>
        <w:t xml:space="preserve">defined and verified through a method known as Contract-Path Tracking, which is a third-party audit </w:t>
      </w:r>
      <w:r w:rsidR="00DB68CA">
        <w:rPr>
          <w:bCs/>
          <w:iCs/>
        </w:rPr>
        <w:t xml:space="preserve">that is </w:t>
      </w:r>
      <w:r w:rsidR="00DB68CA" w:rsidRPr="00DB68CA">
        <w:rPr>
          <w:bCs/>
          <w:iCs/>
        </w:rPr>
        <w:t>supported by contract receipts</w:t>
      </w:r>
      <w:r w:rsidR="00DB68CA">
        <w:rPr>
          <w:bCs/>
          <w:iCs/>
        </w:rPr>
        <w:t>, declarations</w:t>
      </w:r>
      <w:r w:rsidR="00DB68CA" w:rsidRPr="00DB68CA">
        <w:rPr>
          <w:bCs/>
          <w:iCs/>
        </w:rPr>
        <w:t xml:space="preserve"> and other proof of generation/transfer of ownership.</w:t>
      </w:r>
    </w:p>
    <w:p w14:paraId="40106A0C" w14:textId="5909B2B3" w:rsidR="00122212" w:rsidRDefault="00E46AA5">
      <w:pPr>
        <w:spacing w:before="120"/>
        <w:jc w:val="both"/>
      </w:pPr>
      <w:r>
        <w:t>Th</w:t>
      </w:r>
      <w:r w:rsidR="00DB68CA">
        <w:t>e</w:t>
      </w:r>
      <w:r>
        <w:t xml:space="preserve"> effort </w:t>
      </w:r>
      <w:r w:rsidR="00DB68CA">
        <w:t xml:space="preserve">to develop a standardized REC contract </w:t>
      </w:r>
      <w:r>
        <w:t>is in response to</w:t>
      </w:r>
      <w:r w:rsidR="008D7D1B" w:rsidRPr="005F7B79">
        <w:rPr>
          <w:bCs/>
          <w:iCs/>
        </w:rPr>
        <w:t xml:space="preserve"> </w:t>
      </w:r>
      <w:r>
        <w:rPr>
          <w:bCs/>
          <w:iCs/>
        </w:rPr>
        <w:t xml:space="preserve">the </w:t>
      </w:r>
      <w:r w:rsidR="008D7D1B" w:rsidRPr="005F7B79">
        <w:rPr>
          <w:bCs/>
          <w:iCs/>
        </w:rPr>
        <w:t xml:space="preserve">recent activities </w:t>
      </w:r>
      <w:r>
        <w:rPr>
          <w:bCs/>
          <w:iCs/>
        </w:rPr>
        <w:t>within</w:t>
      </w:r>
      <w:r w:rsidR="00970628">
        <w:rPr>
          <w:bCs/>
          <w:iCs/>
        </w:rPr>
        <w:t xml:space="preserve"> the WEQ and RMQ Executive Committee Distributed Ledger Technology (DLT) Task Forces.</w:t>
      </w:r>
      <w:r w:rsidR="00122212">
        <w:rPr>
          <w:bCs/>
          <w:iCs/>
        </w:rPr>
        <w:t xml:space="preserve">  </w:t>
      </w:r>
      <w:r w:rsidR="00DB68CA">
        <w:t>Formed in June,</w:t>
      </w:r>
      <w:r w:rsidR="00122212" w:rsidRPr="005F7B79">
        <w:t xml:space="preserve"> the </w:t>
      </w:r>
      <w:r w:rsidR="00CB66DF">
        <w:t>t</w:t>
      </w:r>
      <w:r w:rsidR="00122212" w:rsidRPr="005F7B79">
        <w:t xml:space="preserve">ask </w:t>
      </w:r>
      <w:r w:rsidR="00CB66DF">
        <w:t>fo</w:t>
      </w:r>
      <w:r w:rsidR="00122212" w:rsidRPr="005F7B79">
        <w:t>rces address</w:t>
      </w:r>
      <w:r w:rsidR="00DB68CA">
        <w:t>ed</w:t>
      </w:r>
      <w:r w:rsidR="00122212" w:rsidRPr="005F7B79">
        <w:t xml:space="preserve"> the </w:t>
      </w:r>
      <w:r w:rsidR="00122212">
        <w:t xml:space="preserve">RMQ and WEQ </w:t>
      </w:r>
      <w:r w:rsidR="00122212" w:rsidRPr="005F7B79">
        <w:t xml:space="preserve">annual plan items </w:t>
      </w:r>
      <w:r w:rsidR="00122212">
        <w:t>calling for a review of the RECs process (</w:t>
      </w:r>
      <w:r w:rsidR="008D7D1B" w:rsidRPr="005F7B79">
        <w:rPr>
          <w:bCs/>
          <w:iCs/>
        </w:rPr>
        <w:t>2019 RMQ Annual Plan Item 7.a and 2019 WEQ Annual Plan Item 7.b.i</w:t>
      </w:r>
      <w:r w:rsidR="00122212">
        <w:rPr>
          <w:bCs/>
          <w:iCs/>
        </w:rPr>
        <w:t>)</w:t>
      </w:r>
      <w:r w:rsidR="005F7B79">
        <w:rPr>
          <w:bCs/>
          <w:iCs/>
        </w:rPr>
        <w:t xml:space="preserve">. </w:t>
      </w:r>
      <w:r w:rsidR="00034DA7">
        <w:t>At that time, it was decided that the task forces would r</w:t>
      </w:r>
      <w:r w:rsidR="00034DA7" w:rsidRPr="005F7B79">
        <w:t>eport back to the RMQ and WEQ Executive Committees</w:t>
      </w:r>
      <w:r w:rsidR="00034DA7">
        <w:t xml:space="preserve"> on whether standards concerning RECs </w:t>
      </w:r>
      <w:r w:rsidR="00DB68CA">
        <w:t>should be drafted</w:t>
      </w:r>
      <w:r w:rsidR="00034DA7" w:rsidRPr="005F7B79">
        <w:t>.</w:t>
      </w:r>
      <w:r w:rsidR="00034DA7">
        <w:t xml:space="preserve">  </w:t>
      </w:r>
      <w:r w:rsidR="00970628">
        <w:rPr>
          <w:bCs/>
          <w:iCs/>
        </w:rPr>
        <w:t>B</w:t>
      </w:r>
      <w:r w:rsidR="00970628" w:rsidRPr="005F7B79">
        <w:rPr>
          <w:bCs/>
          <w:iCs/>
        </w:rPr>
        <w:t>ased on th</w:t>
      </w:r>
      <w:r w:rsidR="00DB68CA">
        <w:rPr>
          <w:bCs/>
          <w:iCs/>
        </w:rPr>
        <w:t>e</w:t>
      </w:r>
      <w:r w:rsidR="00970628" w:rsidRPr="005F7B79">
        <w:rPr>
          <w:bCs/>
          <w:iCs/>
        </w:rPr>
        <w:t xml:space="preserve"> review, </w:t>
      </w:r>
      <w:r w:rsidR="00970628">
        <w:rPr>
          <w:bCs/>
          <w:iCs/>
        </w:rPr>
        <w:t xml:space="preserve">the task forces suggested that </w:t>
      </w:r>
      <w:r w:rsidR="0075747D" w:rsidRPr="005F7B79">
        <w:t>standards surrounding the REC contracting process would benefit the industry</w:t>
      </w:r>
      <w:r w:rsidR="00970628" w:rsidRPr="005F7B79">
        <w:rPr>
          <w:bCs/>
          <w:iCs/>
        </w:rPr>
        <w:t xml:space="preserve"> and that the effort should be jointly assigned to the RMQ and WEQ Business Practice Subcommittees</w:t>
      </w:r>
      <w:r w:rsidR="00970628">
        <w:rPr>
          <w:bCs/>
          <w:iCs/>
        </w:rPr>
        <w:t>.</w:t>
      </w:r>
    </w:p>
    <w:p w14:paraId="432D062D" w14:textId="309EC335" w:rsidR="0075747D" w:rsidRPr="00122212" w:rsidRDefault="005F7B79">
      <w:pPr>
        <w:spacing w:before="120"/>
        <w:jc w:val="both"/>
        <w:rPr>
          <w:bCs/>
          <w:iCs/>
        </w:rPr>
      </w:pPr>
      <w:r w:rsidRPr="005F7B79">
        <w:t>Debbie McKeever agreed to serve as chair of the RMQ Executive Committee Distributed Ledger Technology Task Force, and Roy True and Joshua Phillips served as chair and co-chair of the WEQ Executive Committee Distributed Ledger Technology Task Force</w:t>
      </w:r>
      <w:r w:rsidR="00D41770">
        <w:t>.</w:t>
      </w:r>
      <w:r w:rsidR="00122212">
        <w:rPr>
          <w:bCs/>
          <w:iCs/>
        </w:rPr>
        <w:t xml:space="preserve"> </w:t>
      </w:r>
      <w:r>
        <w:t xml:space="preserve">During </w:t>
      </w:r>
      <w:r w:rsidR="008D7D1B" w:rsidRPr="005F7B79">
        <w:rPr>
          <w:bCs/>
          <w:iCs/>
        </w:rPr>
        <w:t xml:space="preserve">the first meeting, </w:t>
      </w:r>
      <w:r w:rsidR="0075747D">
        <w:rPr>
          <w:bCs/>
          <w:iCs/>
        </w:rPr>
        <w:t xml:space="preserve">the </w:t>
      </w:r>
      <w:r w:rsidR="00122212">
        <w:rPr>
          <w:bCs/>
          <w:iCs/>
        </w:rPr>
        <w:t>task forces</w:t>
      </w:r>
      <w:r w:rsidR="0075747D">
        <w:rPr>
          <w:bCs/>
          <w:iCs/>
        </w:rPr>
        <w:t xml:space="preserve"> were provided with presentations </w:t>
      </w:r>
      <w:r w:rsidR="008D7D1B" w:rsidRPr="005F7B79">
        <w:rPr>
          <w:bCs/>
          <w:iCs/>
        </w:rPr>
        <w:t>on the REC process</w:t>
      </w:r>
      <w:r w:rsidR="0075747D">
        <w:rPr>
          <w:bCs/>
          <w:iCs/>
        </w:rPr>
        <w:t>,</w:t>
      </w:r>
      <w:r w:rsidR="008D7D1B" w:rsidRPr="005F7B79">
        <w:rPr>
          <w:bCs/>
          <w:iCs/>
        </w:rPr>
        <w:t xml:space="preserve"> the different tracking methods utilized</w:t>
      </w:r>
      <w:r w:rsidR="0075747D">
        <w:rPr>
          <w:bCs/>
          <w:iCs/>
        </w:rPr>
        <w:t>, and how</w:t>
      </w:r>
      <w:r w:rsidR="008D7D1B" w:rsidRPr="005F7B79">
        <w:rPr>
          <w:bCs/>
          <w:iCs/>
        </w:rPr>
        <w:t xml:space="preserve"> distributed ledger technology and smart contracts could be utilized </w:t>
      </w:r>
      <w:r w:rsidR="0075747D">
        <w:rPr>
          <w:bCs/>
          <w:iCs/>
        </w:rPr>
        <w:t xml:space="preserve">with </w:t>
      </w:r>
      <w:proofErr w:type="spellStart"/>
      <w:r w:rsidR="0075747D">
        <w:rPr>
          <w:bCs/>
          <w:iCs/>
        </w:rPr>
        <w:t>RECs</w:t>
      </w:r>
      <w:r w:rsidR="008D7D1B" w:rsidRPr="005F7B79">
        <w:rPr>
          <w:bCs/>
          <w:iCs/>
        </w:rPr>
        <w:t>.</w:t>
      </w:r>
      <w:proofErr w:type="spellEnd"/>
      <w:r>
        <w:t xml:space="preserve"> </w:t>
      </w:r>
      <w:r w:rsidR="0075747D">
        <w:rPr>
          <w:bCs/>
          <w:iCs/>
        </w:rPr>
        <w:t>The task forces agreed</w:t>
      </w:r>
      <w:r w:rsidR="008D7D1B" w:rsidRPr="005F7B79">
        <w:rPr>
          <w:bCs/>
          <w:iCs/>
        </w:rPr>
        <w:t xml:space="preserve"> that the annual plan item </w:t>
      </w:r>
      <w:r w:rsidR="0075747D">
        <w:rPr>
          <w:bCs/>
          <w:iCs/>
        </w:rPr>
        <w:t xml:space="preserve">should </w:t>
      </w:r>
      <w:r w:rsidR="008D7D1B" w:rsidRPr="005F7B79">
        <w:rPr>
          <w:bCs/>
          <w:iCs/>
        </w:rPr>
        <w:t xml:space="preserve">be </w:t>
      </w:r>
      <w:r w:rsidR="0075747D">
        <w:rPr>
          <w:bCs/>
          <w:iCs/>
        </w:rPr>
        <w:t xml:space="preserve">limited </w:t>
      </w:r>
      <w:r w:rsidR="008D7D1B" w:rsidRPr="005F7B79">
        <w:rPr>
          <w:bCs/>
          <w:iCs/>
        </w:rPr>
        <w:t>to the voluntary, rather than compliance, REC markets.</w:t>
      </w:r>
      <w:r w:rsidR="00D41770">
        <w:t xml:space="preserve"> </w:t>
      </w:r>
      <w:r w:rsidRPr="005F7B79">
        <w:rPr>
          <w:bCs/>
          <w:iCs/>
        </w:rPr>
        <w:t xml:space="preserve">After </w:t>
      </w:r>
      <w:r w:rsidR="00122212">
        <w:rPr>
          <w:bCs/>
          <w:iCs/>
        </w:rPr>
        <w:t>two meetings in</w:t>
      </w:r>
      <w:r w:rsidRPr="005F7B79">
        <w:rPr>
          <w:bCs/>
          <w:iCs/>
        </w:rPr>
        <w:t xml:space="preserve"> July, the </w:t>
      </w:r>
      <w:bookmarkStart w:id="0" w:name="_Hlk13745726"/>
      <w:r w:rsidRPr="005F7B79">
        <w:t xml:space="preserve">participants agreed to </w:t>
      </w:r>
      <w:r w:rsidRPr="005F7B79">
        <w:rPr>
          <w:bCs/>
        </w:rPr>
        <w:t xml:space="preserve">first focus on </w:t>
      </w:r>
      <w:r w:rsidR="00D41770">
        <w:rPr>
          <w:bCs/>
        </w:rPr>
        <w:t xml:space="preserve">a </w:t>
      </w:r>
      <w:r w:rsidRPr="005F7B79">
        <w:t>review of the REC processes and the consideration of relevant data sets</w:t>
      </w:r>
      <w:bookmarkEnd w:id="0"/>
      <w:r w:rsidR="00D41770">
        <w:t xml:space="preserve"> </w:t>
      </w:r>
      <w:r w:rsidRPr="005F7B79">
        <w:t xml:space="preserve">rather than begin discussion on potential technologies, such as distributed ledger. The first two meetings culminated in the creation of the RECs Framework document that was finalized during the July and August conference calls. </w:t>
      </w:r>
      <w:r>
        <w:rPr>
          <w:bCs/>
          <w:iCs/>
        </w:rPr>
        <w:t xml:space="preserve">The </w:t>
      </w:r>
      <w:r w:rsidRPr="005F7B79">
        <w:rPr>
          <w:bCs/>
          <w:iCs/>
        </w:rPr>
        <w:t xml:space="preserve">framework is meant to serve as a guide for </w:t>
      </w:r>
      <w:r>
        <w:rPr>
          <w:bCs/>
          <w:iCs/>
        </w:rPr>
        <w:t xml:space="preserve">the </w:t>
      </w:r>
      <w:r w:rsidR="00D41770">
        <w:rPr>
          <w:bCs/>
          <w:iCs/>
        </w:rPr>
        <w:t xml:space="preserve">upcoming </w:t>
      </w:r>
      <w:r w:rsidR="0075747D">
        <w:rPr>
          <w:bCs/>
          <w:iCs/>
        </w:rPr>
        <w:t>joint WEQ and RMQ B</w:t>
      </w:r>
      <w:r w:rsidR="00D41770">
        <w:rPr>
          <w:bCs/>
          <w:iCs/>
        </w:rPr>
        <w:t xml:space="preserve">usiness Practices Subcommittee </w:t>
      </w:r>
      <w:r w:rsidR="0075747D">
        <w:rPr>
          <w:bCs/>
          <w:iCs/>
        </w:rPr>
        <w:t>conference call</w:t>
      </w:r>
      <w:r w:rsidR="00D41770">
        <w:rPr>
          <w:bCs/>
          <w:iCs/>
        </w:rPr>
        <w:t xml:space="preserve"> </w:t>
      </w:r>
      <w:r w:rsidR="00B11E82">
        <w:rPr>
          <w:bCs/>
          <w:iCs/>
        </w:rPr>
        <w:t xml:space="preserve">that </w:t>
      </w:r>
      <w:r w:rsidR="00D41770">
        <w:rPr>
          <w:bCs/>
          <w:iCs/>
        </w:rPr>
        <w:t xml:space="preserve">will </w:t>
      </w:r>
      <w:r w:rsidR="00DB68CA">
        <w:rPr>
          <w:bCs/>
          <w:iCs/>
        </w:rPr>
        <w:t>take place in</w:t>
      </w:r>
      <w:r w:rsidR="00D41770">
        <w:rPr>
          <w:bCs/>
          <w:iCs/>
        </w:rPr>
        <w:t xml:space="preserve"> early November</w:t>
      </w:r>
      <w:r w:rsidR="0075747D">
        <w:rPr>
          <w:bCs/>
          <w:iCs/>
        </w:rPr>
        <w:t>.</w:t>
      </w:r>
      <w:r w:rsidR="00D41770">
        <w:t xml:space="preserve"> </w:t>
      </w:r>
      <w:r w:rsidR="00094948">
        <w:t>All interested parties are welcome to join the call.</w:t>
      </w:r>
      <w:bookmarkStart w:id="1" w:name="_GoBack"/>
      <w:bookmarkEnd w:id="1"/>
    </w:p>
    <w:sectPr w:rsidR="0075747D" w:rsidRPr="0012221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E668" w14:textId="77777777" w:rsidR="0006761B" w:rsidRDefault="0006761B">
      <w:r>
        <w:separator/>
      </w:r>
    </w:p>
  </w:endnote>
  <w:endnote w:type="continuationSeparator" w:id="0">
    <w:p w14:paraId="2141CEB2" w14:textId="77777777" w:rsidR="0006761B" w:rsidRDefault="0006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6F896E95" w:rsidR="004A0655" w:rsidRPr="00176FB9" w:rsidRDefault="00DE237C" w:rsidP="005E6421">
    <w:pPr>
      <w:pStyle w:val="Footer"/>
      <w:pBdr>
        <w:top w:val="single" w:sz="12" w:space="1" w:color="auto"/>
      </w:pBdr>
      <w:jc w:val="right"/>
      <w:rPr>
        <w:sz w:val="18"/>
        <w:szCs w:val="18"/>
      </w:rPr>
    </w:pPr>
    <w:r>
      <w:rPr>
        <w:sz w:val="18"/>
        <w:szCs w:val="18"/>
      </w:rPr>
      <w:t>Distributed Ledger Technology</w:t>
    </w:r>
    <w:r w:rsidR="004A0655">
      <w:rPr>
        <w:sz w:val="18"/>
        <w:szCs w:val="18"/>
      </w:rPr>
      <w:t xml:space="preserve"> Standards Development Efforts Update</w:t>
    </w:r>
  </w:p>
  <w:p w14:paraId="55446127" w14:textId="77777777" w:rsidR="004A0655" w:rsidRPr="00176FB9" w:rsidRDefault="004A065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E33D" w14:textId="77777777" w:rsidR="0006761B" w:rsidRDefault="0006761B">
      <w:r>
        <w:separator/>
      </w:r>
    </w:p>
  </w:footnote>
  <w:footnote w:type="continuationSeparator" w:id="0">
    <w:p w14:paraId="4E013CF2" w14:textId="77777777" w:rsidR="0006761B" w:rsidRDefault="0006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4A0655" w:rsidRPr="00D65256" w:rsidRDefault="004A065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4A0655" w:rsidRDefault="004A065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4A0655" w:rsidRDefault="004A065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4A0655" w:rsidRPr="00D65256" w:rsidRDefault="004A065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4A0655" w:rsidRPr="00D65256" w:rsidRDefault="004A065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4A0655" w:rsidRPr="003019B2" w:rsidRDefault="004A065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4A0655" w:rsidRPr="00D65256" w:rsidRDefault="004A065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4A0655" w:rsidRDefault="004A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E184B"/>
    <w:multiLevelType w:val="hybridMultilevel"/>
    <w:tmpl w:val="3A6222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30C46"/>
    <w:multiLevelType w:val="hybridMultilevel"/>
    <w:tmpl w:val="3596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C3A08"/>
    <w:multiLevelType w:val="hybridMultilevel"/>
    <w:tmpl w:val="090E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8"/>
  </w:num>
  <w:num w:numId="4">
    <w:abstractNumId w:val="14"/>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DA7"/>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47A06"/>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61B"/>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826"/>
    <w:rsid w:val="00091AE3"/>
    <w:rsid w:val="00091BA9"/>
    <w:rsid w:val="00091BB0"/>
    <w:rsid w:val="00091FEF"/>
    <w:rsid w:val="000922F2"/>
    <w:rsid w:val="00092BAD"/>
    <w:rsid w:val="00092D5A"/>
    <w:rsid w:val="000930C1"/>
    <w:rsid w:val="000941A7"/>
    <w:rsid w:val="000941CD"/>
    <w:rsid w:val="000941F1"/>
    <w:rsid w:val="00094215"/>
    <w:rsid w:val="00094753"/>
    <w:rsid w:val="00094948"/>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212"/>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B03"/>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61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047D"/>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53B3"/>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685"/>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803"/>
    <w:rsid w:val="00262E42"/>
    <w:rsid w:val="002633AC"/>
    <w:rsid w:val="0026386B"/>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1D78"/>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299"/>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1F0"/>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3EC"/>
    <w:rsid w:val="0033060B"/>
    <w:rsid w:val="00332744"/>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67AE"/>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815"/>
    <w:rsid w:val="003D0C52"/>
    <w:rsid w:val="003D11A6"/>
    <w:rsid w:val="003D221A"/>
    <w:rsid w:val="003D2752"/>
    <w:rsid w:val="003D4125"/>
    <w:rsid w:val="003D4480"/>
    <w:rsid w:val="003D5198"/>
    <w:rsid w:val="003D5A7A"/>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5D7"/>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609"/>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2"/>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655"/>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1BB"/>
    <w:rsid w:val="00527217"/>
    <w:rsid w:val="005274F5"/>
    <w:rsid w:val="00527BB6"/>
    <w:rsid w:val="00527DDF"/>
    <w:rsid w:val="0053049F"/>
    <w:rsid w:val="005309D3"/>
    <w:rsid w:val="005314A0"/>
    <w:rsid w:val="005316C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112"/>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5B18"/>
    <w:rsid w:val="005B6603"/>
    <w:rsid w:val="005B6A00"/>
    <w:rsid w:val="005B6D0E"/>
    <w:rsid w:val="005B6DE8"/>
    <w:rsid w:val="005B6EAD"/>
    <w:rsid w:val="005B71AD"/>
    <w:rsid w:val="005B7291"/>
    <w:rsid w:val="005B7445"/>
    <w:rsid w:val="005B747D"/>
    <w:rsid w:val="005B7798"/>
    <w:rsid w:val="005B7AB0"/>
    <w:rsid w:val="005B7AB7"/>
    <w:rsid w:val="005B7C93"/>
    <w:rsid w:val="005C0475"/>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79"/>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2FAB"/>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984"/>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49A"/>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1B8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E97"/>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47D"/>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AA2"/>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0AB3"/>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19D"/>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917"/>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D7D1B"/>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6B2"/>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06D"/>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0628"/>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23F6"/>
    <w:rsid w:val="00993B83"/>
    <w:rsid w:val="0099416A"/>
    <w:rsid w:val="009949DD"/>
    <w:rsid w:val="00994B47"/>
    <w:rsid w:val="00994D95"/>
    <w:rsid w:val="0099530A"/>
    <w:rsid w:val="009956E9"/>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840"/>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2B37"/>
    <w:rsid w:val="009F3023"/>
    <w:rsid w:val="009F3168"/>
    <w:rsid w:val="009F427D"/>
    <w:rsid w:val="009F4AB1"/>
    <w:rsid w:val="009F4C2B"/>
    <w:rsid w:val="009F529E"/>
    <w:rsid w:val="009F5415"/>
    <w:rsid w:val="009F561D"/>
    <w:rsid w:val="009F5A33"/>
    <w:rsid w:val="009F611E"/>
    <w:rsid w:val="009F6668"/>
    <w:rsid w:val="009F778E"/>
    <w:rsid w:val="009F79F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77F"/>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1E8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160"/>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C7FB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62F"/>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29"/>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6DBB"/>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B66DF"/>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560"/>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77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2A1"/>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9D2"/>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8CA"/>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6E6"/>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7C"/>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6AA5"/>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97DA8"/>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7E5"/>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1D3"/>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009"/>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5959"/>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741"/>
    <w:rsid w:val="00FC1841"/>
    <w:rsid w:val="00FC1AB1"/>
    <w:rsid w:val="00FC1AEE"/>
    <w:rsid w:val="00FC24D4"/>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257A1650-090A-4B3A-AC81-113C72AF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50B51-65AA-45A8-846F-1ACBEB6E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2017-08-10T13:25:00Z</cp:lastPrinted>
  <dcterms:created xsi:type="dcterms:W3CDTF">2019-10-23T16:32:00Z</dcterms:created>
  <dcterms:modified xsi:type="dcterms:W3CDTF">2019-10-23T16:32:00Z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