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40" w:hanging="1440"/>
        <w:jc w:val="right"/>
        <w:rPr>
          <w:b/>
        </w:rPr>
      </w:pPr>
      <w:bookmarkStart w:id="0" w:name="OLE_LINK7"/>
      <w:bookmarkStart w:id="1" w:name="OLE_LINK8"/>
      <w:bookmarkStart w:id="2" w:name="_GoBack"/>
      <w:bookmarkEnd w:id="2"/>
      <w:proofErr w:type="gramStart"/>
      <w:r>
        <w:rPr>
          <w:b/>
        </w:rPr>
        <w:t>via</w:t>
      </w:r>
      <w:proofErr w:type="gramEnd"/>
      <w:r>
        <w:rPr>
          <w:b/>
        </w:rPr>
        <w:t xml:space="preserve"> posting</w:t>
      </w:r>
    </w:p>
    <w:p>
      <w:pPr>
        <w:tabs>
          <w:tab w:val="left" w:pos="900"/>
        </w:tabs>
        <w:spacing w:before="120"/>
        <w:ind w:left="1440" w:hanging="1440"/>
      </w:pPr>
      <w:r>
        <w:rPr>
          <w:b/>
        </w:rPr>
        <w:t>TO:</w:t>
      </w:r>
      <w:r>
        <w:rPr>
          <w:b/>
        </w:rPr>
        <w:tab/>
      </w:r>
      <w:r>
        <w:t>NAESB Board Revenue Committee Members and posting for interested industry parties</w:t>
      </w:r>
    </w:p>
    <w:p>
      <w:pPr>
        <w:tabs>
          <w:tab w:val="left" w:pos="900"/>
        </w:tabs>
        <w:spacing w:before="120" w:after="120"/>
      </w:pPr>
      <w:r>
        <w:rPr>
          <w:b/>
        </w:rPr>
        <w:t xml:space="preserve">FROM: </w:t>
      </w:r>
      <w:r>
        <w:rPr>
          <w:b/>
        </w:rPr>
        <w:tab/>
      </w:r>
      <w:r>
        <w:t xml:space="preserve">Jonathan Booe, Deputy Director, </w:t>
      </w:r>
      <w:proofErr w:type="gramStart"/>
      <w:r>
        <w:t>NAESB</w:t>
      </w:r>
      <w:proofErr w:type="gramEnd"/>
    </w:p>
    <w:p>
      <w:pPr>
        <w:tabs>
          <w:tab w:val="left" w:pos="900"/>
        </w:tabs>
        <w:ind w:left="900" w:hanging="900"/>
      </w:pPr>
      <w:r>
        <w:rPr>
          <w:b/>
        </w:rPr>
        <w:t>RE:</w:t>
      </w:r>
      <w:r>
        <w:rPr>
          <w:b/>
        </w:rPr>
        <w:tab/>
      </w:r>
      <w:r>
        <w:t>Meeting Notes from the</w:t>
      </w:r>
      <w:r>
        <w:rPr>
          <w:b/>
        </w:rPr>
        <w:t xml:space="preserve"> </w:t>
      </w:r>
      <w:r>
        <w:t>NAESB Board Revenue Committee Conference Call on August 9, 2012</w:t>
      </w:r>
    </w:p>
    <w:p>
      <w:pPr>
        <w:pBdr>
          <w:bottom w:val="single" w:sz="12" w:space="1" w:color="auto"/>
        </w:pBdr>
        <w:tabs>
          <w:tab w:val="left" w:pos="900"/>
        </w:tabs>
        <w:spacing w:before="120" w:after="120"/>
      </w:pPr>
      <w:r>
        <w:rPr>
          <w:b/>
        </w:rPr>
        <w:t>DATE:</w:t>
      </w:r>
      <w:r>
        <w:tab/>
        <w:t>August 10, 2012</w:t>
      </w:r>
    </w:p>
    <w:p>
      <w:pPr>
        <w:spacing w:before="120"/>
        <w:outlineLvl w:val="2"/>
      </w:pPr>
      <w:r>
        <w:t>Dear Revenue Committee Members,</w:t>
      </w:r>
    </w:p>
    <w:p>
      <w:pPr>
        <w:spacing w:before="120" w:after="240"/>
        <w:outlineLvl w:val="2"/>
      </w:pPr>
      <w:r>
        <w:t>A Revenue Committee conference call was held on August 9, 2012. The meeting was called to order at 1:00 pm Central.  Mr. Desselle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trPr>
          <w:tblHeader/>
        </w:trPr>
        <w:tc>
          <w:tcPr>
            <w:tcW w:w="9918" w:type="dxa"/>
            <w:gridSpan w:val="2"/>
            <w:tcBorders>
              <w:top w:val="single" w:sz="4" w:space="0" w:color="auto"/>
              <w:bottom w:val="single" w:sz="4" w:space="0" w:color="auto"/>
            </w:tcBorders>
          </w:tcPr>
          <w:p>
            <w:pPr>
              <w:spacing w:before="120" w:after="240"/>
              <w:jc w:val="center"/>
              <w:outlineLvl w:val="2"/>
              <w:rPr>
                <w:b/>
              </w:rPr>
            </w:pPr>
            <w:r>
              <w:rPr>
                <w:b/>
              </w:rPr>
              <w:t>Notes from the August 9, 2012 NAESB Board Revenue Committee Conference Call</w:t>
            </w:r>
          </w:p>
        </w:tc>
      </w:tr>
      <w:tr>
        <w:tc>
          <w:tcPr>
            <w:tcW w:w="1620" w:type="dxa"/>
            <w:tcBorders>
              <w:top w:val="single" w:sz="4" w:space="0" w:color="auto"/>
            </w:tcBorders>
          </w:tcPr>
          <w:p>
            <w:pPr>
              <w:spacing w:before="120" w:after="60"/>
              <w:outlineLvl w:val="2"/>
              <w:rPr>
                <w:b/>
              </w:rPr>
            </w:pPr>
            <w:r>
              <w:rPr>
                <w:b/>
              </w:rPr>
              <w:t>Administrative:</w:t>
            </w:r>
          </w:p>
        </w:tc>
        <w:tc>
          <w:tcPr>
            <w:tcW w:w="8298" w:type="dxa"/>
            <w:tcBorders>
              <w:top w:val="single" w:sz="4" w:space="0" w:color="auto"/>
            </w:tcBorders>
          </w:tcPr>
          <w:p>
            <w:pPr>
              <w:keepNext/>
              <w:keepLines/>
              <w:spacing w:before="120" w:after="240"/>
              <w:outlineLvl w:val="2"/>
              <w:rPr>
                <w:b/>
              </w:rPr>
            </w:pPr>
            <w:r>
              <w:t xml:space="preserve">Mr. Desselle welcomed the participants in the room and on the phone and called the roll of the Committee.  Quorum was established.  Mr. Booe provided the antitrust guidance.  Mr. Desselle reviewed the agenda and it was adopted by consensus.  </w:t>
            </w:r>
          </w:p>
        </w:tc>
      </w:tr>
      <w:tr>
        <w:tc>
          <w:tcPr>
            <w:tcW w:w="1620" w:type="dxa"/>
          </w:tcPr>
          <w:p>
            <w:pPr>
              <w:spacing w:before="120" w:after="60"/>
              <w:outlineLvl w:val="2"/>
              <w:rPr>
                <w:b/>
              </w:rPr>
            </w:pPr>
            <w:r>
              <w:rPr>
                <w:b/>
              </w:rPr>
              <w:t>Discussion</w:t>
            </w:r>
          </w:p>
        </w:tc>
        <w:tc>
          <w:tcPr>
            <w:tcW w:w="8298" w:type="dxa"/>
          </w:tcPr>
          <w:p>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Desselle reviewed the decisions made by the Revenue Committee at the May 16, 2012 meeting, approved subsequently by the Managing Committee,  and discussed at the June 21, 2012 Board meeting:</w:t>
            </w:r>
          </w:p>
          <w:p>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Have member and non-member portions of the NAESB web site.  The member side of the web site stays as it is today.  There may be changes in the future to further expand membership benefits.</w:t>
            </w:r>
          </w:p>
          <w:p>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Non-members would have access to one rolling month of meeting notices, agendas and work papers.   After 30 days, the materials would be pulled from their pages.</w:t>
            </w:r>
          </w:p>
          <w:p>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We will charge $250 for the contracts for non-members.  The previous price was $50.</w:t>
            </w:r>
          </w:p>
          <w:p>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We will charge $250 for the individual topics/sets of standards in a given standards publication – such a Demand Response, WGQ Nominations or Retail Customer Enrollments.  These were originally priced at $100.  Members have access at no additional fees as they are considered part of membership benefit.</w:t>
            </w:r>
          </w:p>
          <w:p>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We will raise course attendance fees for non-members commensurate with the increase in the costs of the standard work products for non-members.  </w:t>
            </w:r>
          </w:p>
          <w:p>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We will charge non-members at $100 for 4 hours or less and $300 for more than 4 hours of planned duration of meetings.</w:t>
            </w:r>
          </w:p>
          <w:p>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Desselle noted that the meeting was called as result of the discussions at the Board of Directors meeting concerning the non-membership meeting attendance fee and asked Ms. McQuade to review the proposal offered by the Board as an option to the meeting fee. Specifically issues were raised at the Board meeting for Revenue Committee review regarding per topic attendance fees in addition to the option of per meeting attendance fees.  Ms. McQuade reviewed the membership and fee structures of other organizations such as the American National Standards Institute and Data Interchange Standards Association and recommended that an annual, per person subcommittee participation fee of $1000 be offered as a choice.  </w:t>
            </w:r>
          </w:p>
          <w:p>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Connor confirmed that the non-member meeting and subcommittee participation fee only apply </w:t>
            </w:r>
            <w:r>
              <w:rPr>
                <w:rFonts w:ascii="Times New Roman" w:hAnsi="Times New Roman" w:cs="Times New Roman"/>
                <w:sz w:val="20"/>
                <w:szCs w:val="20"/>
              </w:rPr>
              <w:lastRenderedPageBreak/>
              <w:t xml:space="preserve">to Executive Committee subcommittee/task force meetings and conference calls.  Mr. Boswell stated that the annual subcommittee participation fee is responsive to the request of the Board of Directors during the June meeting.  The participants agreed.  Mr. Connor recommended that the policy change be well publicized before implementation.  Mr. Desselle and Ms. McQuade stated that announcements would be made to the trade organizations and the non-member participants’ lists at NAESB and that ample notice will be provided.   Mr. Connor asked about the expected implementation date.  Ms. McQuade responded that implementation should take place at the end of September or October, depending on the completion of the changes to the web site.  Mr. Francis noted that fee structures proposed were quite reasonable considering the fee structures used by other groups, and suggested that the access codes and security codes for meetings should be changed more frequently. </w:t>
            </w:r>
          </w:p>
          <w:p>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Crockett moved to adopt the proposal of providing an annual non-member subcommittee participation fee to be applied on a per person basis as an alternative to the non-member meeting attendance fee.  Mr. Ellsworth seconded the motion and the motion passed a simple majority vote.  There was no dissenting votes cast, nor were there any dissenting comments from any of the participants.</w:t>
            </w:r>
          </w:p>
        </w:tc>
      </w:tr>
      <w:tr>
        <w:tc>
          <w:tcPr>
            <w:tcW w:w="1620" w:type="dxa"/>
          </w:tcPr>
          <w:p>
            <w:pPr>
              <w:spacing w:before="120" w:after="60"/>
              <w:outlineLvl w:val="2"/>
              <w:rPr>
                <w:b/>
              </w:rPr>
            </w:pPr>
            <w:r>
              <w:rPr>
                <w:b/>
              </w:rPr>
              <w:lastRenderedPageBreak/>
              <w:t>Other Business/Next Meeting and Action Items:</w:t>
            </w:r>
          </w:p>
        </w:tc>
        <w:tc>
          <w:tcPr>
            <w:tcW w:w="8298" w:type="dxa"/>
          </w:tcPr>
          <w:p>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 and no follow up meeting was scheduled.  It was noted that Ms. McQuade would contact the Managing Committee to determine their concurrence with the Revenue Committee’s decisions.</w:t>
            </w:r>
          </w:p>
        </w:tc>
      </w:tr>
      <w:tr>
        <w:tc>
          <w:tcPr>
            <w:tcW w:w="1620" w:type="dxa"/>
          </w:tcPr>
          <w:p>
            <w:pPr>
              <w:spacing w:before="120" w:after="120"/>
              <w:outlineLvl w:val="2"/>
              <w:rPr>
                <w:b/>
              </w:rPr>
            </w:pPr>
            <w:r>
              <w:rPr>
                <w:b/>
              </w:rPr>
              <w:t>Adjourn:</w:t>
            </w:r>
          </w:p>
        </w:tc>
        <w:tc>
          <w:tcPr>
            <w:tcW w:w="8298" w:type="dxa"/>
          </w:tcPr>
          <w:p>
            <w:pPr>
              <w:tabs>
                <w:tab w:val="left" w:pos="360"/>
              </w:tabs>
              <w:spacing w:before="120" w:after="120"/>
            </w:pPr>
            <w:r>
              <w:t>The meeting was adjourned at 1:34 pm Central.</w:t>
            </w:r>
          </w:p>
        </w:tc>
      </w:tr>
      <w:tr>
        <w:tc>
          <w:tcPr>
            <w:tcW w:w="1620" w:type="dxa"/>
          </w:tcPr>
          <w:p>
            <w:pPr>
              <w:spacing w:before="120" w:after="60"/>
              <w:outlineLvl w:val="2"/>
              <w:rPr>
                <w:b/>
              </w:rPr>
            </w:pPr>
            <w:r>
              <w:rPr>
                <w:b/>
              </w:rPr>
              <w:t>Work Papers Provided for the Meeting:</w:t>
            </w:r>
          </w:p>
        </w:tc>
        <w:tc>
          <w:tcPr>
            <w:tcW w:w="8298" w:type="dxa"/>
          </w:tcPr>
          <w:p>
            <w:pPr>
              <w:spacing w:before="120" w:after="60"/>
              <w:rPr>
                <w:b/>
              </w:rPr>
            </w:pPr>
            <w:r>
              <w:rPr>
                <w:b/>
              </w:rPr>
              <w:t>Meeting Related Documents:</w:t>
            </w:r>
          </w:p>
          <w:p>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9" w:history="1">
              <w:r>
                <w:rPr>
                  <w:rStyle w:val="Hyperlink"/>
                  <w:rFonts w:ascii="Times New Roman" w:hAnsi="Times New Roman"/>
                  <w:sz w:val="20"/>
                  <w:szCs w:val="20"/>
                </w:rPr>
                <w:t>http://www.naesb.org/pdf4/bd_revenue080912a.docx</w:t>
              </w:r>
            </w:hyperlink>
            <w:r>
              <w:rPr>
                <w:rFonts w:ascii="Times New Roman" w:hAnsi="Times New Roman" w:cs="Times New Roman"/>
                <w:color w:val="000000"/>
                <w:sz w:val="20"/>
                <w:szCs w:val="20"/>
              </w:rPr>
              <w:t xml:space="preserve"> </w:t>
            </w:r>
          </w:p>
          <w:p>
            <w:pPr>
              <w:pStyle w:val="ListParagraph"/>
              <w:spacing w:before="60" w:after="60"/>
              <w:ind w:left="702"/>
              <w:rPr>
                <w:rFonts w:ascii="Times New Roman" w:hAnsi="Times New Roman" w:cs="Times New Roman"/>
                <w:i/>
                <w:sz w:val="20"/>
                <w:szCs w:val="20"/>
              </w:rPr>
            </w:pPr>
            <w:r>
              <w:rPr>
                <w:rFonts w:ascii="Times New Roman" w:hAnsi="Times New Roman" w:cs="Times New Roman"/>
                <w:i/>
                <w:color w:val="000000"/>
                <w:sz w:val="20"/>
                <w:szCs w:val="20"/>
              </w:rPr>
              <w:t>(The work papers are contained as links in the agenda).</w:t>
            </w:r>
          </w:p>
          <w:p>
            <w:pPr>
              <w:pStyle w:val="ListParagraph"/>
              <w:spacing w:before="60" w:after="120"/>
              <w:ind w:left="0"/>
              <w:rPr>
                <w:rFonts w:ascii="Times New Roman" w:hAnsi="Times New Roman" w:cs="Times New Roman"/>
                <w:sz w:val="20"/>
                <w:szCs w:val="20"/>
              </w:rPr>
            </w:pPr>
            <w:r>
              <w:rPr>
                <w:rFonts w:ascii="Times New Roman" w:hAnsi="Times New Roman" w:cs="Times New Roman"/>
                <w:color w:val="000000"/>
                <w:sz w:val="20"/>
                <w:szCs w:val="20"/>
              </w:rPr>
              <w:t xml:space="preserve"> </w:t>
            </w:r>
          </w:p>
        </w:tc>
      </w:tr>
      <w:tr>
        <w:tc>
          <w:tcPr>
            <w:tcW w:w="1620" w:type="dxa"/>
            <w:tcBorders>
              <w:bottom w:val="single" w:sz="4" w:space="0" w:color="auto"/>
            </w:tcBorders>
          </w:tcPr>
          <w:p>
            <w:pPr>
              <w:spacing w:before="120" w:after="60"/>
              <w:outlineLvl w:val="2"/>
              <w:rPr>
                <w:b/>
              </w:rPr>
            </w:pPr>
          </w:p>
        </w:tc>
        <w:tc>
          <w:tcPr>
            <w:tcW w:w="8298" w:type="dxa"/>
            <w:tcBorders>
              <w:bottom w:val="single" w:sz="4" w:space="0" w:color="auto"/>
            </w:tcBorders>
          </w:tcPr>
          <w:p>
            <w:pPr>
              <w:spacing w:before="120" w:after="60"/>
              <w:rPr>
                <w:b/>
              </w:rPr>
            </w:pPr>
          </w:p>
        </w:tc>
      </w:tr>
      <w:bookmarkEnd w:id="0"/>
      <w:bookmarkEnd w:id="1"/>
    </w:tbl>
    <w:p>
      <w:r>
        <w:br w:type="page"/>
      </w:r>
    </w:p>
    <w:tbl>
      <w:tblPr>
        <w:tblW w:w="0" w:type="auto"/>
        <w:tblInd w:w="108" w:type="dxa"/>
        <w:tblLayout w:type="fixed"/>
        <w:tblLook w:val="01E0" w:firstRow="1" w:lastRow="1" w:firstColumn="1" w:lastColumn="1" w:noHBand="0" w:noVBand="0"/>
      </w:tblPr>
      <w:tblGrid>
        <w:gridCol w:w="4950"/>
        <w:gridCol w:w="4968"/>
      </w:tblGrid>
      <w:tr>
        <w:trPr>
          <w:tblHeader/>
        </w:trPr>
        <w:tc>
          <w:tcPr>
            <w:tcW w:w="9918" w:type="dxa"/>
            <w:gridSpan w:val="2"/>
            <w:tcBorders>
              <w:bottom w:val="single" w:sz="4" w:space="0" w:color="auto"/>
            </w:tcBorders>
          </w:tcPr>
          <w:p>
            <w:pPr>
              <w:spacing w:before="240" w:after="120"/>
              <w:jc w:val="center"/>
              <w:rPr>
                <w:b/>
              </w:rPr>
            </w:pPr>
            <w:r>
              <w:rPr>
                <w:b/>
              </w:rPr>
              <w:lastRenderedPageBreak/>
              <w:t>Notes from the August 9, 2012 NAESB Board Revenue Committee Conference Call</w:t>
            </w:r>
          </w:p>
          <w:p>
            <w:pPr>
              <w:spacing w:after="120"/>
              <w:jc w:val="center"/>
              <w:rPr>
                <w:b/>
              </w:rPr>
            </w:pPr>
            <w:r>
              <w:rPr>
                <w:b/>
              </w:rPr>
              <w:t>REVENUE COMMITTEE MEMBERS</w:t>
            </w:r>
          </w:p>
        </w:tc>
      </w:tr>
      <w:tr>
        <w:trPr>
          <w:tblHeader/>
        </w:trPr>
        <w:tc>
          <w:tcPr>
            <w:tcW w:w="4950" w:type="dxa"/>
            <w:tcBorders>
              <w:top w:val="single" w:sz="4" w:space="0" w:color="auto"/>
              <w:bottom w:val="single" w:sz="4" w:space="0" w:color="auto"/>
            </w:tcBorders>
          </w:tcPr>
          <w:p>
            <w:pPr>
              <w:spacing w:before="40" w:after="20"/>
              <w:jc w:val="both"/>
              <w:rPr>
                <w:b/>
              </w:rPr>
            </w:pPr>
            <w:bookmarkStart w:id="3" w:name="_Hlk316634792"/>
            <w:r>
              <w:rPr>
                <w:b/>
              </w:rPr>
              <w:t>Name</w:t>
            </w:r>
          </w:p>
        </w:tc>
        <w:tc>
          <w:tcPr>
            <w:tcW w:w="4968" w:type="dxa"/>
            <w:tcBorders>
              <w:top w:val="single" w:sz="4" w:space="0" w:color="auto"/>
              <w:bottom w:val="single" w:sz="4" w:space="0" w:color="auto"/>
            </w:tcBorders>
          </w:tcPr>
          <w:p>
            <w:pPr>
              <w:keepNext/>
              <w:spacing w:before="40" w:after="20"/>
              <w:jc w:val="both"/>
              <w:rPr>
                <w:b/>
              </w:rPr>
            </w:pPr>
            <w:r>
              <w:rPr>
                <w:b/>
              </w:rPr>
              <w:t xml:space="preserve">Organization </w:t>
            </w:r>
          </w:p>
        </w:tc>
      </w:tr>
      <w:bookmarkEnd w:id="3"/>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Bill Boswell</w:t>
            </w:r>
          </w:p>
        </w:tc>
        <w:tc>
          <w:tcPr>
            <w:tcW w:w="4968" w:type="dxa"/>
          </w:tcPr>
          <w:p>
            <w:pPr>
              <w:spacing w:before="100"/>
            </w:pPr>
            <w:r>
              <w:t>NAESB</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 xml:space="preserve">Valerie Crockett </w:t>
            </w:r>
          </w:p>
        </w:tc>
        <w:tc>
          <w:tcPr>
            <w:tcW w:w="4968" w:type="dxa"/>
          </w:tcPr>
          <w:p>
            <w:pPr>
              <w:spacing w:before="100"/>
            </w:pPr>
            <w:smartTag w:uri="urn:schemas-microsoft-com:office:smarttags" w:element="place">
              <w:smartTag w:uri="urn:schemas-microsoft-com:office:smarttags" w:element="PlaceName">
                <w:r>
                  <w:t>Tennessee</w:t>
                </w:r>
              </w:smartTag>
              <w:r>
                <w:t xml:space="preserve"> </w:t>
              </w:r>
              <w:smartTag w:uri="urn:schemas-microsoft-com:office:smarttags" w:element="PlaceType">
                <w:r>
                  <w:t>Valley</w:t>
                </w:r>
              </w:smartTag>
            </w:smartTag>
            <w:r>
              <w:t xml:space="preserve"> Authority</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Michael Desselle</w:t>
            </w:r>
          </w:p>
        </w:tc>
        <w:tc>
          <w:tcPr>
            <w:tcW w:w="4968" w:type="dxa"/>
          </w:tcPr>
          <w:p>
            <w:pPr>
              <w:spacing w:before="100"/>
            </w:pPr>
            <w:r>
              <w:t>Southwest Power Pool</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Bruce Ellsworth</w:t>
            </w:r>
          </w:p>
        </w:tc>
        <w:tc>
          <w:tcPr>
            <w:tcW w:w="4968" w:type="dxa"/>
          </w:tcPr>
          <w:p>
            <w:pPr>
              <w:spacing w:before="100"/>
            </w:pPr>
            <w:r>
              <w:t>New York State Reliability Council</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Rick Smead</w:t>
            </w:r>
          </w:p>
        </w:tc>
        <w:tc>
          <w:tcPr>
            <w:tcW w:w="4968" w:type="dxa"/>
          </w:tcPr>
          <w:p>
            <w:pPr>
              <w:spacing w:before="100"/>
            </w:pPr>
            <w:r>
              <w:t>Navigant Consulting, Inc.</w:t>
            </w:r>
          </w:p>
        </w:tc>
      </w:tr>
      <w:tr>
        <w:trPr>
          <w:tblHeader/>
        </w:trPr>
        <w:tc>
          <w:tcPr>
            <w:tcW w:w="9918" w:type="dxa"/>
            <w:gridSpan w:val="2"/>
            <w:tcBorders>
              <w:bottom w:val="single" w:sz="4" w:space="0" w:color="auto"/>
            </w:tcBorders>
          </w:tcPr>
          <w:p>
            <w:pPr>
              <w:spacing w:before="240" w:after="120"/>
              <w:jc w:val="center"/>
              <w:rPr>
                <w:b/>
              </w:rPr>
            </w:pPr>
            <w:r>
              <w:rPr>
                <w:b/>
              </w:rPr>
              <w:t>OTHER ATTENDEES</w:t>
            </w:r>
          </w:p>
        </w:tc>
      </w:tr>
      <w:tr>
        <w:trPr>
          <w:tblHeader/>
        </w:trPr>
        <w:tc>
          <w:tcPr>
            <w:tcW w:w="4950" w:type="dxa"/>
            <w:tcBorders>
              <w:top w:val="single" w:sz="4" w:space="0" w:color="auto"/>
              <w:bottom w:val="single" w:sz="4" w:space="0" w:color="auto"/>
            </w:tcBorders>
          </w:tcPr>
          <w:p>
            <w:pPr>
              <w:spacing w:before="40" w:after="20"/>
              <w:jc w:val="both"/>
              <w:rPr>
                <w:b/>
              </w:rPr>
            </w:pPr>
            <w:r>
              <w:rPr>
                <w:b/>
              </w:rPr>
              <w:t>Name</w:t>
            </w:r>
          </w:p>
        </w:tc>
        <w:tc>
          <w:tcPr>
            <w:tcW w:w="4968" w:type="dxa"/>
            <w:tcBorders>
              <w:top w:val="single" w:sz="4" w:space="0" w:color="auto"/>
              <w:bottom w:val="single" w:sz="4" w:space="0" w:color="auto"/>
            </w:tcBorders>
          </w:tcPr>
          <w:p>
            <w:pPr>
              <w:keepNext/>
              <w:spacing w:before="40" w:after="20"/>
              <w:jc w:val="both"/>
              <w:rPr>
                <w:b/>
              </w:rPr>
            </w:pPr>
            <w:r>
              <w:rPr>
                <w:b/>
              </w:rPr>
              <w:t xml:space="preserve">Organization </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 xml:space="preserve">Jonathan Booe </w:t>
            </w:r>
          </w:p>
        </w:tc>
        <w:tc>
          <w:tcPr>
            <w:tcW w:w="4968" w:type="dxa"/>
          </w:tcPr>
          <w:p>
            <w:pPr>
              <w:spacing w:before="100"/>
            </w:pPr>
            <w:r>
              <w:t>NAESB</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 xml:space="preserve">Pete Connor </w:t>
            </w:r>
          </w:p>
        </w:tc>
        <w:tc>
          <w:tcPr>
            <w:tcW w:w="4968" w:type="dxa"/>
          </w:tcPr>
          <w:p>
            <w:pPr>
              <w:spacing w:before="100"/>
            </w:pPr>
            <w:r>
              <w:t>Representing AGA</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Dave Francis</w:t>
            </w:r>
          </w:p>
        </w:tc>
        <w:tc>
          <w:tcPr>
            <w:tcW w:w="4968" w:type="dxa"/>
          </w:tcPr>
          <w:p>
            <w:pPr>
              <w:spacing w:before="100"/>
            </w:pPr>
            <w:smartTag w:uri="urn:schemas-microsoft-com:office:smarttags" w:element="place">
              <w:r>
                <w:t>Midwest</w:t>
              </w:r>
            </w:smartTag>
            <w:r>
              <w:t xml:space="preserve"> ISO</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 xml:space="preserve">Rae McQuade </w:t>
            </w:r>
          </w:p>
        </w:tc>
        <w:tc>
          <w:tcPr>
            <w:tcW w:w="4968" w:type="dxa"/>
          </w:tcPr>
          <w:p>
            <w:pPr>
              <w:spacing w:before="100"/>
            </w:pPr>
            <w:r>
              <w:t>NAESB</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Denise Rager</w:t>
            </w:r>
          </w:p>
        </w:tc>
        <w:tc>
          <w:tcPr>
            <w:tcW w:w="4968" w:type="dxa"/>
          </w:tcPr>
          <w:p>
            <w:pPr>
              <w:spacing w:before="100"/>
            </w:pPr>
            <w:r>
              <w:t>NAESB</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Elizabeth Mallett</w:t>
            </w:r>
          </w:p>
        </w:tc>
        <w:tc>
          <w:tcPr>
            <w:tcW w:w="4968" w:type="dxa"/>
          </w:tcPr>
          <w:p>
            <w:pPr>
              <w:spacing w:before="100"/>
            </w:pPr>
            <w:r>
              <w:t>NAESB</w:t>
            </w:r>
          </w:p>
        </w:tc>
      </w:tr>
      <w:tr>
        <w:tc>
          <w:tcPr>
            <w:tcW w:w="4950" w:type="dxa"/>
          </w:tcPr>
          <w:p>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Veronica Thomason</w:t>
            </w:r>
          </w:p>
        </w:tc>
        <w:tc>
          <w:tcPr>
            <w:tcW w:w="4968" w:type="dxa"/>
          </w:tcPr>
          <w:p>
            <w:pPr>
              <w:spacing w:before="100"/>
            </w:pPr>
            <w:r>
              <w:t>NAESB</w:t>
            </w:r>
          </w:p>
        </w:tc>
      </w:tr>
    </w:tbl>
    <w:p>
      <w:pPr>
        <w:spacing w:before="120"/>
      </w:pPr>
    </w:p>
    <w:sectPr>
      <w:headerReference w:type="default" r:id="rId10"/>
      <w:footerReference w:type="default" r:id="rId11"/>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18" w:space="1" w:color="auto"/>
      </w:pBdr>
      <w:jc w:val="right"/>
    </w:pPr>
    <w:r>
      <w:t>NAESB Board Revenue Committee – August 9, 2012</w:t>
    </w:r>
  </w:p>
  <w:p>
    <w:pPr>
      <w:pStyle w:val="Footer"/>
      <w:pBdr>
        <w:top w:val="single" w:sz="18" w:space="1" w:color="auto"/>
      </w:pBdr>
      <w:jc w:val="right"/>
    </w:pPr>
    <w:r>
      <w:t xml:space="preserve">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56180E" w:rsidRDefault="0056180E"/>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pPr>
      <w:pStyle w:val="Header"/>
      <w:ind w:left="1800"/>
      <w:jc w:val="right"/>
      <w:rPr>
        <w:lang w:val="fr-FR"/>
      </w:rPr>
    </w:pPr>
    <w:r>
      <w:rPr>
        <w:lang w:val="fr-FR"/>
      </w:rPr>
      <w:t>Phone</w:t>
    </w:r>
    <w:proofErr w:type="gramStart"/>
    <w:r>
      <w:rPr>
        <w:lang w:val="fr-FR"/>
      </w:rPr>
      <w:t xml:space="preserve">:  </w:t>
    </w:r>
    <w:smartTag w:uri="urn:schemas-microsoft-com:office:smarttags" w:element="PersonName">
      <w:r>
        <w:rPr>
          <w:lang w:val="fr-FR"/>
        </w:rPr>
        <w:t>(</w:t>
      </w:r>
      <w:proofErr w:type="gramEnd"/>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BD6803"/>
    <w:multiLevelType w:val="hybridMultilevel"/>
    <w:tmpl w:val="19089582"/>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59300B6"/>
    <w:multiLevelType w:val="hybridMultilevel"/>
    <w:tmpl w:val="CC80E4A6"/>
    <w:lvl w:ilvl="0" w:tplc="0409000F">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8">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9">
    <w:nsid w:val="46765C7F"/>
    <w:multiLevelType w:val="hybridMultilevel"/>
    <w:tmpl w:val="93CC68D6"/>
    <w:lvl w:ilvl="0" w:tplc="4E9E81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3D46882"/>
    <w:multiLevelType w:val="hybridMultilevel"/>
    <w:tmpl w:val="0A5E0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1">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2">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
  </w:num>
  <w:num w:numId="4">
    <w:abstractNumId w:val="32"/>
  </w:num>
  <w:num w:numId="5">
    <w:abstractNumId w:val="3"/>
  </w:num>
  <w:num w:numId="6">
    <w:abstractNumId w:val="18"/>
  </w:num>
  <w:num w:numId="7">
    <w:abstractNumId w:val="5"/>
  </w:num>
  <w:num w:numId="8">
    <w:abstractNumId w:val="27"/>
  </w:num>
  <w:num w:numId="9">
    <w:abstractNumId w:val="30"/>
  </w:num>
  <w:num w:numId="10">
    <w:abstractNumId w:val="41"/>
  </w:num>
  <w:num w:numId="11">
    <w:abstractNumId w:val="4"/>
  </w:num>
  <w:num w:numId="12">
    <w:abstractNumId w:val="16"/>
  </w:num>
  <w:num w:numId="13">
    <w:abstractNumId w:val="40"/>
  </w:num>
  <w:num w:numId="14">
    <w:abstractNumId w:val="15"/>
  </w:num>
  <w:num w:numId="15">
    <w:abstractNumId w:val="12"/>
  </w:num>
  <w:num w:numId="16">
    <w:abstractNumId w:val="26"/>
  </w:num>
  <w:num w:numId="17">
    <w:abstractNumId w:val="19"/>
  </w:num>
  <w:num w:numId="18">
    <w:abstractNumId w:val="0"/>
  </w:num>
  <w:num w:numId="19">
    <w:abstractNumId w:val="31"/>
  </w:num>
  <w:num w:numId="20">
    <w:abstractNumId w:val="8"/>
  </w:num>
  <w:num w:numId="21">
    <w:abstractNumId w:val="37"/>
  </w:num>
  <w:num w:numId="22">
    <w:abstractNumId w:val="10"/>
  </w:num>
  <w:num w:numId="23">
    <w:abstractNumId w:val="11"/>
  </w:num>
  <w:num w:numId="24">
    <w:abstractNumId w:val="14"/>
  </w:num>
  <w:num w:numId="25">
    <w:abstractNumId w:val="25"/>
  </w:num>
  <w:num w:numId="26">
    <w:abstractNumId w:val="35"/>
  </w:num>
  <w:num w:numId="27">
    <w:abstractNumId w:val="34"/>
  </w:num>
  <w:num w:numId="28">
    <w:abstractNumId w:val="2"/>
  </w:num>
  <w:num w:numId="29">
    <w:abstractNumId w:val="28"/>
  </w:num>
  <w:num w:numId="30">
    <w:abstractNumId w:val="38"/>
  </w:num>
  <w:num w:numId="31">
    <w:abstractNumId w:val="9"/>
  </w:num>
  <w:num w:numId="32">
    <w:abstractNumId w:val="24"/>
  </w:num>
  <w:num w:numId="33">
    <w:abstractNumId w:val="36"/>
  </w:num>
  <w:num w:numId="34">
    <w:abstractNumId w:val="42"/>
  </w:num>
  <w:num w:numId="35">
    <w:abstractNumId w:val="6"/>
  </w:num>
  <w:num w:numId="36">
    <w:abstractNumId w:val="7"/>
  </w:num>
  <w:num w:numId="37">
    <w:abstractNumId w:val="13"/>
  </w:num>
  <w:num w:numId="38">
    <w:abstractNumId w:val="23"/>
  </w:num>
  <w:num w:numId="39">
    <w:abstractNumId w:val="33"/>
  </w:num>
  <w:num w:numId="40">
    <w:abstractNumId w:val="21"/>
  </w:num>
  <w:num w:numId="41">
    <w:abstractNumId w:val="29"/>
  </w:num>
  <w:num w:numId="42">
    <w:abstractNumId w:val="17"/>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sz w:val="20"/>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sz w:val="2"/>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Pr>
      <w:rFonts w:cs="Times New Roman"/>
      <w:b/>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sz w:val="20"/>
    </w:rPr>
  </w:style>
  <w:style w:type="paragraph" w:customStyle="1" w:styleId="InsideAddress">
    <w:name w:val="Inside Address"/>
    <w:basedOn w:val="Normal"/>
    <w:uiPriority w:val="99"/>
  </w:style>
  <w:style w:type="paragraph" w:styleId="ListParagraph">
    <w:name w:val="List Paragraph"/>
    <w:basedOn w:val="Normal"/>
    <w:uiPriority w:val="34"/>
    <w:qFormat/>
    <w:pPr>
      <w:ind w:left="720"/>
    </w:pPr>
    <w:rPr>
      <w:rFonts w:ascii="Calibri" w:hAnsi="Calibri" w:cs="Calibri"/>
      <w:sz w:val="22"/>
      <w:szCs w:val="22"/>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customStyle="1" w:styleId="TableText">
    <w:name w:val="Table Text"/>
    <w:uiPriority w:val="99"/>
    <w:rPr>
      <w:rFonts w:ascii="Arial Narrow" w:hAnsi="Arial Narrow"/>
      <w:color w:val="000000"/>
      <w:sz w:val="24"/>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rPr>
      <w:lang w:val="en-US"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sz w:val="20"/>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character" w:styleId="FollowedHyperlink">
    <w:name w:val="FollowedHyperlink"/>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sz w:val="2"/>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Pr>
      <w:rFonts w:cs="Times New Roman"/>
      <w:b/>
    </w:rPr>
  </w:style>
  <w:style w:type="paragraph" w:styleId="BodyText">
    <w:name w:val="Body Text"/>
    <w:basedOn w:val="Normal"/>
    <w:link w:val="BodyTextChar"/>
    <w:uiPriority w:val="99"/>
  </w:style>
  <w:style w:type="character" w:customStyle="1" w:styleId="BodyTextChar">
    <w:name w:val="Body Text Char"/>
    <w:link w:val="BodyText"/>
    <w:uiPriority w:val="99"/>
    <w:semiHidden/>
    <w:locked/>
    <w:rPr>
      <w:sz w:val="20"/>
    </w:rPr>
  </w:style>
  <w:style w:type="paragraph" w:customStyle="1" w:styleId="InsideAddress">
    <w:name w:val="Inside Address"/>
    <w:basedOn w:val="Normal"/>
    <w:uiPriority w:val="99"/>
  </w:style>
  <w:style w:type="paragraph" w:styleId="ListParagraph">
    <w:name w:val="List Paragraph"/>
    <w:basedOn w:val="Normal"/>
    <w:uiPriority w:val="34"/>
    <w:qFormat/>
    <w:pPr>
      <w:ind w:left="720"/>
    </w:pPr>
    <w:rPr>
      <w:rFonts w:ascii="Calibri" w:hAnsi="Calibri" w:cs="Calibri"/>
      <w:sz w:val="22"/>
      <w:szCs w:val="22"/>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customStyle="1" w:styleId="TableText">
    <w:name w:val="Table Text"/>
    <w:uiPriority w:val="99"/>
    <w:rPr>
      <w:rFonts w:ascii="Arial Narrow" w:hAnsi="Arial Narrow"/>
      <w:color w:val="000000"/>
      <w:sz w:val="24"/>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rPr>
      <w:lang w:val="en-US"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23736">
      <w:marLeft w:val="0"/>
      <w:marRight w:val="0"/>
      <w:marTop w:val="0"/>
      <w:marBottom w:val="0"/>
      <w:divBdr>
        <w:top w:val="none" w:sz="0" w:space="0" w:color="auto"/>
        <w:left w:val="none" w:sz="0" w:space="0" w:color="auto"/>
        <w:bottom w:val="none" w:sz="0" w:space="0" w:color="auto"/>
        <w:right w:val="none" w:sz="0" w:space="0" w:color="auto"/>
      </w:divBdr>
    </w:div>
    <w:div w:id="1502623737">
      <w:marLeft w:val="0"/>
      <w:marRight w:val="0"/>
      <w:marTop w:val="0"/>
      <w:marBottom w:val="0"/>
      <w:divBdr>
        <w:top w:val="none" w:sz="0" w:space="0" w:color="auto"/>
        <w:left w:val="none" w:sz="0" w:space="0" w:color="auto"/>
        <w:bottom w:val="none" w:sz="0" w:space="0" w:color="auto"/>
        <w:right w:val="none" w:sz="0" w:space="0" w:color="auto"/>
      </w:divBdr>
      <w:divsChild>
        <w:div w:id="1502623738">
          <w:marLeft w:val="0"/>
          <w:marRight w:val="0"/>
          <w:marTop w:val="0"/>
          <w:marBottom w:val="0"/>
          <w:divBdr>
            <w:top w:val="none" w:sz="0" w:space="0" w:color="auto"/>
            <w:left w:val="none" w:sz="0" w:space="0" w:color="auto"/>
            <w:bottom w:val="none" w:sz="0" w:space="0" w:color="auto"/>
            <w:right w:val="none" w:sz="0" w:space="0" w:color="auto"/>
          </w:divBdr>
        </w:div>
      </w:divsChild>
    </w:div>
    <w:div w:id="1502623739">
      <w:marLeft w:val="0"/>
      <w:marRight w:val="0"/>
      <w:marTop w:val="0"/>
      <w:marBottom w:val="0"/>
      <w:divBdr>
        <w:top w:val="none" w:sz="0" w:space="0" w:color="auto"/>
        <w:left w:val="none" w:sz="0" w:space="0" w:color="auto"/>
        <w:bottom w:val="none" w:sz="0" w:space="0" w:color="auto"/>
        <w:right w:val="none" w:sz="0" w:space="0" w:color="auto"/>
      </w:divBdr>
    </w:div>
    <w:div w:id="1502623740">
      <w:marLeft w:val="0"/>
      <w:marRight w:val="0"/>
      <w:marTop w:val="0"/>
      <w:marBottom w:val="0"/>
      <w:divBdr>
        <w:top w:val="none" w:sz="0" w:space="0" w:color="auto"/>
        <w:left w:val="none" w:sz="0" w:space="0" w:color="auto"/>
        <w:bottom w:val="none" w:sz="0" w:space="0" w:color="auto"/>
        <w:right w:val="none" w:sz="0" w:space="0" w:color="auto"/>
      </w:divBdr>
      <w:divsChild>
        <w:div w:id="1502623741">
          <w:marLeft w:val="0"/>
          <w:marRight w:val="0"/>
          <w:marTop w:val="0"/>
          <w:marBottom w:val="0"/>
          <w:divBdr>
            <w:top w:val="none" w:sz="0" w:space="0" w:color="auto"/>
            <w:left w:val="none" w:sz="0" w:space="0" w:color="auto"/>
            <w:bottom w:val="none" w:sz="0" w:space="0" w:color="auto"/>
            <w:right w:val="none" w:sz="0" w:space="0" w:color="auto"/>
          </w:divBdr>
        </w:div>
      </w:divsChild>
    </w:div>
    <w:div w:id="1502623743">
      <w:marLeft w:val="0"/>
      <w:marRight w:val="0"/>
      <w:marTop w:val="0"/>
      <w:marBottom w:val="0"/>
      <w:divBdr>
        <w:top w:val="none" w:sz="0" w:space="0" w:color="auto"/>
        <w:left w:val="none" w:sz="0" w:space="0" w:color="auto"/>
        <w:bottom w:val="none" w:sz="0" w:space="0" w:color="auto"/>
        <w:right w:val="none" w:sz="0" w:space="0" w:color="auto"/>
      </w:divBdr>
      <w:divsChild>
        <w:div w:id="150262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pdf4/bd_revenue080912a.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6ECF-4C3A-4A98-BF5F-A2E8270C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2</cp:revision>
  <cp:lastPrinted>2012-03-12T19:05:00Z</cp:lastPrinted>
  <dcterms:created xsi:type="dcterms:W3CDTF">2012-08-28T16:32:00Z</dcterms:created>
  <dcterms:modified xsi:type="dcterms:W3CDTF">2012-08-28T16:32:00Z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