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BFEF" w14:textId="06A2DDC5" w:rsidR="00C23B6F" w:rsidRPr="00236039" w:rsidRDefault="000E4471" w:rsidP="00DD7BD8">
      <w:pPr>
        <w:spacing w:after="240"/>
        <w:jc w:val="right"/>
      </w:pPr>
      <w:r>
        <w:t>August 20</w:t>
      </w:r>
      <w:r w:rsidR="00135120">
        <w:t>, 2015</w:t>
      </w:r>
    </w:p>
    <w:p w14:paraId="503F141B" w14:textId="7C6F3C2F" w:rsidR="00236039" w:rsidRPr="00236039" w:rsidRDefault="00236039" w:rsidP="00236039">
      <w:pPr>
        <w:tabs>
          <w:tab w:val="left" w:pos="900"/>
        </w:tabs>
        <w:spacing w:before="120" w:after="120"/>
        <w:ind w:left="907" w:hanging="907"/>
      </w:pPr>
      <w:r w:rsidRPr="00236039">
        <w:rPr>
          <w:b/>
        </w:rPr>
        <w:t>TO:</w:t>
      </w:r>
      <w:r>
        <w:tab/>
      </w:r>
      <w:r w:rsidR="006679D1">
        <w:t xml:space="preserve">NAESB </w:t>
      </w:r>
      <w:r w:rsidR="006679D1" w:rsidRPr="00057BE8">
        <w:t xml:space="preserve">Wholesale Electric Quadrant (WEQ) </w:t>
      </w:r>
      <w:r w:rsidR="00057BE8" w:rsidRPr="00057BE8">
        <w:t xml:space="preserve">Members, Wholesale Gas Quadrant (WGQ) Members, </w:t>
      </w:r>
      <w:r w:rsidR="006679D1" w:rsidRPr="00057BE8">
        <w:t xml:space="preserve">and </w:t>
      </w:r>
      <w:r w:rsidR="001500CE">
        <w:t xml:space="preserve">posted </w:t>
      </w:r>
      <w:r w:rsidR="006679D1" w:rsidRPr="00057BE8">
        <w:t>other Interested Industry Parties</w:t>
      </w:r>
    </w:p>
    <w:p w14:paraId="1EF3394F" w14:textId="2E272ABF" w:rsidR="00236039" w:rsidRPr="00236039" w:rsidRDefault="00236039" w:rsidP="00236039">
      <w:pPr>
        <w:tabs>
          <w:tab w:val="left" w:pos="900"/>
        </w:tabs>
        <w:ind w:left="907" w:hanging="907"/>
        <w:rPr>
          <w:bCs/>
        </w:rPr>
      </w:pPr>
      <w:r w:rsidRPr="00236039">
        <w:rPr>
          <w:b/>
          <w:bCs/>
        </w:rPr>
        <w:t>FROM:</w:t>
      </w:r>
      <w:r w:rsidRPr="00236039">
        <w:rPr>
          <w:b/>
          <w:bCs/>
        </w:rPr>
        <w:tab/>
      </w:r>
      <w:r w:rsidR="0066174F">
        <w:rPr>
          <w:bCs/>
        </w:rPr>
        <w:t>Caroline Trum, NAESB Deputy Director</w:t>
      </w:r>
    </w:p>
    <w:p w14:paraId="73EA5BF2" w14:textId="1FF844CB" w:rsidR="00236039" w:rsidRPr="00236039" w:rsidRDefault="00236039" w:rsidP="00236039">
      <w:pPr>
        <w:pBdr>
          <w:bottom w:val="single" w:sz="12" w:space="1" w:color="auto"/>
        </w:pBdr>
        <w:tabs>
          <w:tab w:val="left" w:pos="900"/>
        </w:tabs>
        <w:spacing w:before="120" w:after="120"/>
        <w:ind w:left="907" w:hanging="907"/>
        <w:rPr>
          <w:bCs/>
        </w:rPr>
      </w:pPr>
      <w:r w:rsidRPr="00236039">
        <w:rPr>
          <w:b/>
          <w:bCs/>
        </w:rPr>
        <w:t>RE:</w:t>
      </w:r>
      <w:r w:rsidRPr="00236039">
        <w:rPr>
          <w:b/>
          <w:bCs/>
        </w:rPr>
        <w:tab/>
      </w:r>
      <w:bookmarkStart w:id="0" w:name="_GoBack"/>
      <w:bookmarkEnd w:id="0"/>
      <w:r w:rsidR="007322A9">
        <w:rPr>
          <w:bCs/>
        </w:rPr>
        <w:t>Conference Call of the NAESB WEQ/WGQ FERC Forms Subcommittee</w:t>
      </w:r>
      <w:r w:rsidR="00135120">
        <w:rPr>
          <w:bCs/>
        </w:rPr>
        <w:t xml:space="preserve"> – </w:t>
      </w:r>
      <w:r w:rsidR="000E4471">
        <w:rPr>
          <w:bCs/>
        </w:rPr>
        <w:t>September 1, 2015</w:t>
      </w:r>
    </w:p>
    <w:p w14:paraId="2F9F9FBA" w14:textId="62CC918A" w:rsidR="0066174F" w:rsidRDefault="0066174F" w:rsidP="00DD7BD8">
      <w:pPr>
        <w:tabs>
          <w:tab w:val="left" w:pos="0"/>
        </w:tabs>
        <w:spacing w:before="240" w:after="120"/>
      </w:pPr>
      <w:r>
        <w:t>Dear All,</w:t>
      </w:r>
    </w:p>
    <w:p w14:paraId="496079B1" w14:textId="6ABD2709" w:rsidR="000E4471" w:rsidRDefault="0066174F" w:rsidP="000E4471">
      <w:pPr>
        <w:tabs>
          <w:tab w:val="left" w:pos="0"/>
        </w:tabs>
        <w:spacing w:before="240" w:after="120"/>
        <w:jc w:val="both"/>
      </w:pPr>
      <w:r>
        <w:t xml:space="preserve">A conference call of the NAESB WEQ/WGQ FERC Forms Subcommittee has been scheduled for </w:t>
      </w:r>
      <w:r w:rsidR="000E4471">
        <w:t>Tuesday, September 1, 2015 from 2:00 PM Central to 4:00 PM Central</w:t>
      </w:r>
      <w:r>
        <w:t>.</w:t>
      </w:r>
      <w:r w:rsidR="0077491C">
        <w:t xml:space="preserve">  During the conference call, the subcommittee will continue discussions from the previous meeting</w:t>
      </w:r>
      <w:r w:rsidR="000E4471">
        <w:t xml:space="preserve"> by reviewing any comments received on the work paper circulated for comment to the industry.  The work paper identifies the preliminary determinations that should be made by the subcommittee before beginning the standards development process.  The informal comment period for the work paper will begin today, August 20, and conclude on August 27.  A separate announcement will be distributed for the informal comment period.</w:t>
      </w:r>
    </w:p>
    <w:p w14:paraId="4BEABA32" w14:textId="77777777" w:rsidR="006D605D" w:rsidRDefault="006D605D" w:rsidP="006D605D">
      <w:pPr>
        <w:tabs>
          <w:tab w:val="left" w:pos="0"/>
        </w:tabs>
        <w:spacing w:before="240" w:after="120"/>
        <w:jc w:val="both"/>
      </w:pPr>
      <w:r>
        <w:t>The draft version of the work paper will be disturbed for an informal comment period beginning today, August 20, 2015, and ending at the close of business on August 27, 2015.  Informal comment periods are used at the discretion of NAESB subcommittees to allow participants the opportunity to provide written feedback on the subcommittee’s work products, such as white papers, work papers, and draft versions of business practice standards.  There is no required minimum or maximum length of time for the duration of the informal comment period.  Per NAESB Operating Procedures, the thirty-day industry formal comment period is utilized only after a recommendation has been completed by the subcommittee.  A separate announcement will be made regarding the informal comment period for the Preliminary Topics to be Addressed Work Paper.</w:t>
      </w:r>
    </w:p>
    <w:p w14:paraId="06F5EA62" w14:textId="77777777" w:rsidR="006D605D" w:rsidRDefault="006D605D" w:rsidP="006D605D">
      <w:pPr>
        <w:tabs>
          <w:tab w:val="left" w:pos="0"/>
        </w:tabs>
        <w:spacing w:before="240" w:after="120"/>
        <w:jc w:val="both"/>
      </w:pPr>
      <w:r>
        <w:t xml:space="preserve">During the August 13, 2015 meeting, the subcommittee briefly addressed the July 16, 2015 </w:t>
      </w:r>
      <w:hyperlink r:id="rId9" w:history="1">
        <w:r w:rsidRPr="00E06FFA">
          <w:rPr>
            <w:rStyle w:val="Hyperlink"/>
            <w:i/>
          </w:rPr>
          <w:t>FERC Notice of Public Rule Making (WGQ Version 3.0) Standards for business Practices of Interstate Natural Gas Pipelines</w:t>
        </w:r>
      </w:hyperlink>
      <w:r w:rsidRPr="00E06FFA">
        <w:t xml:space="preserve"> (Docket No. </w:t>
      </w:r>
      <w:proofErr w:type="gramStart"/>
      <w:r w:rsidRPr="00E06FFA">
        <w:t>RM96-1-038)</w:t>
      </w:r>
      <w:r>
        <w:t>.</w:t>
      </w:r>
      <w:proofErr w:type="gramEnd"/>
      <w:r>
        <w:t xml:space="preserve">  Specifically, the subcommittee discussed </w:t>
      </w:r>
      <w:r w:rsidRPr="00E06FFA">
        <w:t>¶ 17</w:t>
      </w:r>
      <w:r>
        <w:t xml:space="preserve"> which noted the Index of Customers form as a candidate to be translated from a tab-delimited format into an Extensible Mark-up Language (XML) file format.  Since that time, Commission staff has provided the following regarding the Index of Customers:</w:t>
      </w:r>
    </w:p>
    <w:p w14:paraId="28AE9083" w14:textId="1DCB161D" w:rsidR="006D605D" w:rsidRDefault="006D605D" w:rsidP="006D605D">
      <w:pPr>
        <w:spacing w:before="240" w:after="120"/>
        <w:ind w:left="720"/>
        <w:jc w:val="both"/>
      </w:pPr>
      <w:proofErr w:type="gramStart"/>
      <w:r w:rsidRPr="00E06FFA">
        <w:t>“In the NOPR in Docket No.</w:t>
      </w:r>
      <w:proofErr w:type="gramEnd"/>
      <w:r w:rsidRPr="00E06FFA">
        <w:t xml:space="preserve"> RM96-1-038, the Commission added the Index of Customers form to the list of forms that are being updated as part of Docket No. </w:t>
      </w:r>
      <w:proofErr w:type="gramStart"/>
      <w:r w:rsidRPr="00E06FFA">
        <w:t>AD15-11-000.</w:t>
      </w:r>
      <w:proofErr w:type="gramEnd"/>
      <w:r w:rsidRPr="00E06FFA">
        <w:t xml:space="preserve">  NAESB or any its members may file comments on the NOPR in Docket No. </w:t>
      </w:r>
      <w:proofErr w:type="gramStart"/>
      <w:r w:rsidRPr="00E06FFA">
        <w:t>RM96-1-038.</w:t>
      </w:r>
      <w:proofErr w:type="gramEnd"/>
      <w:r w:rsidRPr="00E06FFA">
        <w:t xml:space="preserve"> Staff however recognizes the Visual Fox Pro forms (Phase 1) are the highest priority, and therefore proposes that the Index of Customers (Phase 2) be considered at the end of the NAESB deliberations. As the subcommittee looks at establishing the XML schema for information that spans these forms, such as filing data (filer's names, etc.), staff believes that the subcommittee should make sure the XML schema is sufficiently robust to accommodate the needs of all the forms in this docket, including the Index of Customers.”</w:t>
      </w:r>
    </w:p>
    <w:p w14:paraId="26F912B8" w14:textId="584714B8" w:rsidR="00CD0437" w:rsidRDefault="0077491C" w:rsidP="006D605D">
      <w:pPr>
        <w:tabs>
          <w:tab w:val="left" w:pos="0"/>
        </w:tabs>
        <w:spacing w:before="240" w:after="120"/>
        <w:jc w:val="both"/>
      </w:pPr>
      <w:r>
        <w:t>All meeting materials</w:t>
      </w:r>
      <w:r w:rsidR="000E4471">
        <w:t>, including any informal comments received by the NAESB office,</w:t>
      </w:r>
      <w:r>
        <w:t xml:space="preserve"> will be posted to the subcommittee website </w:t>
      </w:r>
      <w:r w:rsidR="00A733B3">
        <w:t>(</w:t>
      </w:r>
      <w:hyperlink r:id="rId10" w:history="1">
        <w:r w:rsidR="00B31A1B">
          <w:rPr>
            <w:rStyle w:val="Hyperlink"/>
          </w:rPr>
          <w:t>https://www.naesb.org/ferc_forms.asp</w:t>
        </w:r>
      </w:hyperlink>
      <w:r w:rsidR="00A733B3">
        <w:t>) for members and the NAESB Current Committee Activities website (</w:t>
      </w:r>
      <w:hyperlink r:id="rId11" w:history="1">
        <w:r w:rsidR="00A733B3" w:rsidRPr="005940C3">
          <w:rPr>
            <w:rStyle w:val="Hyperlink"/>
          </w:rPr>
          <w:t>https://www.naesb.org/committee_activities.asp</w:t>
        </w:r>
      </w:hyperlink>
      <w:r w:rsidR="00A733B3">
        <w:t xml:space="preserve">) for nonmembers. </w:t>
      </w:r>
      <w:r w:rsidR="001500CE">
        <w:t xml:space="preserve">A list of all current NAESB members can be found through the following hyperlink: </w:t>
      </w:r>
      <w:hyperlink r:id="rId12" w:history="1">
        <w:r w:rsidR="001500CE" w:rsidRPr="005940C3">
          <w:rPr>
            <w:rStyle w:val="Hyperlink"/>
          </w:rPr>
          <w:t>https://www.naesb.org//pdf4/memstats.pdf</w:t>
        </w:r>
      </w:hyperlink>
    </w:p>
    <w:p w14:paraId="42EF0422" w14:textId="2D33159F" w:rsidR="00CD0437" w:rsidRDefault="00CD0437" w:rsidP="00CD0437">
      <w:pPr>
        <w:spacing w:before="120"/>
        <w:jc w:val="both"/>
      </w:pPr>
      <w:r>
        <w:t>As with all NAESB subcommittees, participation in th</w:t>
      </w:r>
      <w:r w:rsidR="00380476">
        <w:t>is</w:t>
      </w:r>
      <w:r>
        <w:t xml:space="preserve"> subcommittee</w:t>
      </w:r>
      <w:r w:rsidR="00380476">
        <w:t xml:space="preserve"> is open to anyone wishing to </w:t>
      </w:r>
      <w:r w:rsidR="001500CE">
        <w:t>participate or monitor</w:t>
      </w:r>
      <w:r>
        <w:t xml:space="preserve">; however, non-members will be charged a meeting attendance fee.  Inclusion on NAESB distribution lists, email exploders providing information concerning future meetings and other activities of the </w:t>
      </w:r>
      <w:r w:rsidR="00380476">
        <w:t>subcommittee</w:t>
      </w:r>
      <w:r>
        <w:t xml:space="preserve"> is a membership benefit.</w:t>
      </w:r>
      <w:r w:rsidR="001500CE">
        <w:t xml:space="preserve">  Non-members can monitor the NAESB Current Committee Activities website noted above for information on meetings and work papers.</w:t>
      </w:r>
    </w:p>
    <w:p w14:paraId="667E6C12" w14:textId="10227C7E" w:rsidR="00CD0437" w:rsidRDefault="00CD0437" w:rsidP="00380476">
      <w:pPr>
        <w:spacing w:before="120"/>
        <w:ind w:left="720"/>
        <w:jc w:val="both"/>
      </w:pPr>
      <w:r>
        <w:rPr>
          <w:u w:val="single"/>
        </w:rPr>
        <w:lastRenderedPageBreak/>
        <w:t>Members</w:t>
      </w:r>
      <w:r>
        <w:t>: If you plan to dial-in, please RSVP to the NAESB office through email (</w:t>
      </w:r>
      <w:hyperlink r:id="rId13" w:history="1">
        <w:r>
          <w:rPr>
            <w:rStyle w:val="Hyperlink"/>
          </w:rPr>
          <w:t>naesb@naesb.org</w:t>
        </w:r>
      </w:hyperlink>
      <w:r>
        <w:t xml:space="preserve">) or phone (713-356-0060). Also, please let us know if you would like to be added to the </w:t>
      </w:r>
      <w:r w:rsidR="00FE1FBD">
        <w:t>subcommittee</w:t>
      </w:r>
      <w:r>
        <w:t xml:space="preserve"> distribution list and email exploder to receive future notices.</w:t>
      </w:r>
      <w:r w:rsidR="008F5F83">
        <w:t xml:space="preserve">  </w:t>
      </w:r>
    </w:p>
    <w:p w14:paraId="1B04DD5C" w14:textId="77777777" w:rsidR="00CD0437" w:rsidRDefault="00CD0437" w:rsidP="00380476">
      <w:pPr>
        <w:spacing w:before="120"/>
        <w:ind w:left="720"/>
        <w:jc w:val="both"/>
      </w:pPr>
      <w:r>
        <w:rPr>
          <w:u w:val="single"/>
        </w:rPr>
        <w:t>Non-members</w:t>
      </w:r>
      <w:r>
        <w:t>: Individual non-members wishing to participate in a NAESB committee, subcommittee, or task force meeting must first register for the meeting and submit a meeting attendance fee.  The meeting participation fee, either by phone or in person, is $100 for meetings/conference calls of 4 hours or less and $300 for meetings/conference calls lasting more than 4 hours.  As an alternative, individual non-members may pay an annual (12 consecutive months) subcommittee/task force fee of $1000 (specific to a single subcommittee/task force) in lieu of the non-member individual meeting participation fee.  The annual subcommittee/task force fee will allow an individual non-member to participate in the single subcommittee/task force meetings/conference calls for a period of 12 consecutive months.  Please note that registration for the meetings is on an individual basis and does not extend to other employees from the same company.  Non-members wishing to follow the project may view the “NAESB Current Committee Activities” webpage (</w:t>
      </w:r>
      <w:hyperlink r:id="rId14" w:history="1">
        <w:r>
          <w:rPr>
            <w:rStyle w:val="Hyperlink"/>
          </w:rPr>
          <w:t>http://www.naesb.org/committee_activities.asp</w:t>
        </w:r>
      </w:hyperlink>
      <w:r>
        <w:t>) for information on future meetings.</w:t>
      </w:r>
    </w:p>
    <w:p w14:paraId="24ACDEB3" w14:textId="5CC35145" w:rsidR="00CD0437" w:rsidRDefault="00CD0437" w:rsidP="00380476">
      <w:pPr>
        <w:spacing w:before="240"/>
        <w:jc w:val="both"/>
      </w:pPr>
      <w:r>
        <w:t xml:space="preserve">If you have any questions about participation on the </w:t>
      </w:r>
      <w:r w:rsidR="00380476">
        <w:t>subcommittee</w:t>
      </w:r>
      <w:r>
        <w:t>, please do not hesitate to contact the NAESB office at any time.</w:t>
      </w:r>
    </w:p>
    <w:p w14:paraId="1BA02E15" w14:textId="77777777" w:rsidR="00380476" w:rsidRDefault="00380476" w:rsidP="00380476">
      <w:pPr>
        <w:spacing w:before="240"/>
        <w:jc w:val="both"/>
      </w:pPr>
      <w:r>
        <w:t xml:space="preserve">With Best Regards,  </w:t>
      </w:r>
    </w:p>
    <w:p w14:paraId="6B14A56E" w14:textId="77777777" w:rsidR="00380476" w:rsidRDefault="00380476" w:rsidP="00380476">
      <w:pPr>
        <w:jc w:val="both"/>
      </w:pPr>
    </w:p>
    <w:p w14:paraId="121B69F2" w14:textId="1E8BA277" w:rsidR="006D605D" w:rsidRDefault="0077491C" w:rsidP="00380476">
      <w:pPr>
        <w:jc w:val="both"/>
        <w:rPr>
          <w:rFonts w:ascii="Bradley Hand ITC" w:hAnsi="Bradley Hand ITC"/>
          <w:i/>
          <w:sz w:val="36"/>
          <w:szCs w:val="36"/>
        </w:rPr>
      </w:pPr>
      <w:r>
        <w:rPr>
          <w:rFonts w:ascii="Bradley Hand ITC" w:hAnsi="Bradley Hand ITC"/>
          <w:i/>
          <w:sz w:val="36"/>
          <w:szCs w:val="36"/>
        </w:rPr>
        <w:t>Caroline Trum</w:t>
      </w:r>
    </w:p>
    <w:p w14:paraId="6DE4731D" w14:textId="77777777" w:rsidR="006D605D" w:rsidRDefault="006D605D">
      <w:pPr>
        <w:rPr>
          <w:rFonts w:ascii="Bradley Hand ITC" w:hAnsi="Bradley Hand ITC"/>
          <w:i/>
          <w:sz w:val="36"/>
          <w:szCs w:val="36"/>
        </w:rPr>
      </w:pPr>
      <w:r>
        <w:rPr>
          <w:rFonts w:ascii="Bradley Hand ITC" w:hAnsi="Bradley Hand ITC"/>
          <w:i/>
          <w:sz w:val="36"/>
          <w:szCs w:val="36"/>
        </w:rPr>
        <w:br w:type="page"/>
      </w:r>
    </w:p>
    <w:p w14:paraId="735B5EBE" w14:textId="4B6E5670" w:rsidR="00380476" w:rsidRDefault="00380476" w:rsidP="000E4471">
      <w:pPr>
        <w:keepNext/>
        <w:keepLines/>
        <w:spacing w:before="120" w:after="120"/>
        <w:jc w:val="both"/>
      </w:pPr>
    </w:p>
    <w:p w14:paraId="65CD9C03" w14:textId="77777777" w:rsidR="00380476" w:rsidRDefault="00380476" w:rsidP="00380476">
      <w:pPr>
        <w:jc w:val="center"/>
        <w:rPr>
          <w:b/>
        </w:rPr>
      </w:pPr>
      <w:r>
        <w:rPr>
          <w:b/>
        </w:rPr>
        <w:t>NORTH AMERICAN ENERGY STANDARDS BOARD</w:t>
      </w:r>
    </w:p>
    <w:p w14:paraId="26B2E160" w14:textId="4FAD1CDA" w:rsidR="00380476" w:rsidRDefault="00380476" w:rsidP="00380476">
      <w:pPr>
        <w:jc w:val="center"/>
        <w:rPr>
          <w:b/>
        </w:rPr>
      </w:pPr>
      <w:r>
        <w:rPr>
          <w:b/>
        </w:rPr>
        <w:t>WEQ/WGQ FERC Forms Subcommittee</w:t>
      </w:r>
    </w:p>
    <w:p w14:paraId="377CF418" w14:textId="3F38B2C2" w:rsidR="00380476" w:rsidRDefault="00380476" w:rsidP="00380476">
      <w:pPr>
        <w:jc w:val="center"/>
        <w:rPr>
          <w:b/>
        </w:rPr>
      </w:pPr>
      <w:r>
        <w:rPr>
          <w:b/>
        </w:rPr>
        <w:t>Conference Call and Webcasting</w:t>
      </w:r>
    </w:p>
    <w:p w14:paraId="1BE709B7" w14:textId="351234CE" w:rsidR="00380476" w:rsidRDefault="000E4471" w:rsidP="00380476">
      <w:pPr>
        <w:jc w:val="center"/>
        <w:rPr>
          <w:b/>
        </w:rPr>
      </w:pPr>
      <w:r>
        <w:rPr>
          <w:b/>
        </w:rPr>
        <w:t>September 1, 2015 – 2:00 PM to 4</w:t>
      </w:r>
      <w:r w:rsidR="00380476" w:rsidRPr="000E4471">
        <w:rPr>
          <w:b/>
        </w:rPr>
        <w:t>:00 PM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354A93" w:rsidRDefault="0077491C" w:rsidP="0077491C">
      <w:pPr>
        <w:pStyle w:val="ListParagraph"/>
        <w:numPr>
          <w:ilvl w:val="0"/>
          <w:numId w:val="14"/>
        </w:numPr>
        <w:spacing w:before="120"/>
      </w:pPr>
      <w:r w:rsidRPr="00354A93">
        <w:t>Welcome and Administrative Item</w:t>
      </w:r>
    </w:p>
    <w:p w14:paraId="29FB9B17" w14:textId="1521927A" w:rsidR="00380476" w:rsidRPr="00354A93" w:rsidRDefault="00380476" w:rsidP="0077491C">
      <w:pPr>
        <w:pStyle w:val="ListParagraph"/>
        <w:numPr>
          <w:ilvl w:val="0"/>
          <w:numId w:val="15"/>
        </w:numPr>
        <w:spacing w:before="120"/>
        <w:rPr>
          <w:rStyle w:val="Hyperlink"/>
          <w:color w:val="auto"/>
          <w:u w:val="none"/>
        </w:rPr>
      </w:pPr>
      <w:r w:rsidRPr="00354A93">
        <w:t xml:space="preserve">Antitrust Guidance:  </w:t>
      </w:r>
      <w:hyperlink r:id="rId15" w:history="1">
        <w:r w:rsidRPr="00354A93">
          <w:rPr>
            <w:rStyle w:val="Hyperlink"/>
          </w:rPr>
          <w:t>http://www.naesb.org/misc/antitrust_guidance.doc</w:t>
        </w:r>
      </w:hyperlink>
    </w:p>
    <w:p w14:paraId="403FEE5D" w14:textId="587EC35D" w:rsidR="00354A93" w:rsidRPr="00354A93" w:rsidRDefault="00354A93" w:rsidP="0077491C">
      <w:pPr>
        <w:pStyle w:val="ListParagraph"/>
        <w:numPr>
          <w:ilvl w:val="0"/>
          <w:numId w:val="15"/>
        </w:numPr>
        <w:spacing w:before="120"/>
        <w:rPr>
          <w:rStyle w:val="Hyperlink"/>
          <w:color w:val="auto"/>
          <w:u w:val="none"/>
        </w:rPr>
      </w:pPr>
      <w:r>
        <w:rPr>
          <w:rStyle w:val="Hyperlink"/>
          <w:color w:val="auto"/>
          <w:u w:val="none"/>
        </w:rPr>
        <w:t>Adoption of Agenda</w:t>
      </w:r>
    </w:p>
    <w:p w14:paraId="6822BED1" w14:textId="7E813F09" w:rsidR="00380476" w:rsidRPr="006D605D" w:rsidRDefault="004B1041" w:rsidP="0077491C">
      <w:pPr>
        <w:pStyle w:val="ListParagraph"/>
        <w:numPr>
          <w:ilvl w:val="0"/>
          <w:numId w:val="14"/>
        </w:numPr>
        <w:spacing w:before="120"/>
      </w:pPr>
      <w:r w:rsidRPr="000E4471">
        <w:rPr>
          <w:color w:val="000000"/>
        </w:rPr>
        <w:t xml:space="preserve">Review and Discuss </w:t>
      </w:r>
      <w:r w:rsidR="006D605D">
        <w:rPr>
          <w:color w:val="000000"/>
        </w:rPr>
        <w:t>Informal Comments for Preliminary Topics to be Addressed Work Paper</w:t>
      </w:r>
    </w:p>
    <w:p w14:paraId="123B0D7D" w14:textId="4591C379" w:rsidR="006D605D" w:rsidRPr="006D605D" w:rsidRDefault="005B1105" w:rsidP="006D605D">
      <w:pPr>
        <w:pStyle w:val="ListParagraph"/>
        <w:numPr>
          <w:ilvl w:val="1"/>
          <w:numId w:val="14"/>
        </w:numPr>
        <w:spacing w:before="120"/>
      </w:pPr>
      <w:r>
        <w:rPr>
          <w:color w:val="000000"/>
        </w:rPr>
        <w:t xml:space="preserve">Draft </w:t>
      </w:r>
      <w:r w:rsidR="006D605D">
        <w:rPr>
          <w:color w:val="000000"/>
        </w:rPr>
        <w:t>Work Paper:</w:t>
      </w:r>
      <w:r>
        <w:rPr>
          <w:color w:val="000000"/>
        </w:rPr>
        <w:t xml:space="preserve"> </w:t>
      </w:r>
      <w:hyperlink r:id="rId16" w:history="1">
        <w:r>
          <w:rPr>
            <w:rStyle w:val="Hyperlink"/>
          </w:rPr>
          <w:t>https://www.naesb.org/pdf4/weq_wgq_ffs090115w1.doc</w:t>
        </w:r>
      </w:hyperlink>
    </w:p>
    <w:p w14:paraId="3515098F" w14:textId="7A3DA872" w:rsidR="006D605D" w:rsidRPr="000E4471" w:rsidRDefault="006D605D" w:rsidP="006D605D">
      <w:pPr>
        <w:pStyle w:val="ListParagraph"/>
        <w:numPr>
          <w:ilvl w:val="1"/>
          <w:numId w:val="14"/>
        </w:numPr>
        <w:spacing w:before="120"/>
      </w:pPr>
      <w:r>
        <w:rPr>
          <w:color w:val="000000"/>
        </w:rPr>
        <w:t>All informal comments will be posted to the NAESB website</w:t>
      </w:r>
    </w:p>
    <w:p w14:paraId="17FF39DC" w14:textId="387FFA2B" w:rsidR="00380476" w:rsidRPr="000E4471" w:rsidRDefault="006D605D" w:rsidP="0077491C">
      <w:pPr>
        <w:pStyle w:val="ListParagraph"/>
        <w:numPr>
          <w:ilvl w:val="0"/>
          <w:numId w:val="14"/>
        </w:numPr>
        <w:spacing w:before="120"/>
      </w:pPr>
      <w:r>
        <w:rPr>
          <w:color w:val="000000"/>
        </w:rPr>
        <w:t>Discuss Future Assignments, if any</w:t>
      </w:r>
    </w:p>
    <w:p w14:paraId="355B6FE9" w14:textId="2A1CA2E3" w:rsidR="00380476" w:rsidRPr="000E4471" w:rsidRDefault="006D605D" w:rsidP="0077491C">
      <w:pPr>
        <w:pStyle w:val="ListParagraph"/>
        <w:numPr>
          <w:ilvl w:val="0"/>
          <w:numId w:val="14"/>
        </w:numPr>
        <w:spacing w:before="120"/>
      </w:pPr>
      <w:r>
        <w:t xml:space="preserve">Review </w:t>
      </w:r>
      <w:r w:rsidR="00380476" w:rsidRPr="000E4471">
        <w:t xml:space="preserve">Next Steps and </w:t>
      </w:r>
      <w:r>
        <w:t xml:space="preserve">Future </w:t>
      </w:r>
      <w:r w:rsidR="00380476" w:rsidRPr="000E4471">
        <w:t>Meetings</w:t>
      </w:r>
    </w:p>
    <w:p w14:paraId="0FE0FFF6" w14:textId="60A176E6" w:rsidR="00380476" w:rsidRPr="000E4471" w:rsidRDefault="00380476" w:rsidP="0077491C">
      <w:pPr>
        <w:pStyle w:val="ListParagraph"/>
        <w:numPr>
          <w:ilvl w:val="0"/>
          <w:numId w:val="14"/>
        </w:numPr>
        <w:spacing w:before="120"/>
      </w:pPr>
      <w:r w:rsidRPr="000E4471">
        <w:t>Adjourn</w:t>
      </w:r>
    </w:p>
    <w:p w14:paraId="45C82A54" w14:textId="77777777" w:rsidR="00380476" w:rsidRDefault="00380476" w:rsidP="00380476">
      <w:pPr>
        <w:spacing w:before="120"/>
      </w:pPr>
    </w:p>
    <w:p w14:paraId="48567133" w14:textId="77777777" w:rsidR="00380476" w:rsidRDefault="00380476" w:rsidP="00380476">
      <w:pPr>
        <w:spacing w:before="120"/>
      </w:pPr>
    </w:p>
    <w:sectPr w:rsidR="00380476" w:rsidSect="003A7AFC">
      <w:headerReference w:type="default" r:id="rId17"/>
      <w:footerReference w:type="default" r:id="rId18"/>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537AC" w14:textId="77777777" w:rsidR="0038107B" w:rsidRDefault="0038107B">
      <w:r>
        <w:separator/>
      </w:r>
    </w:p>
  </w:endnote>
  <w:endnote w:type="continuationSeparator" w:id="0">
    <w:p w14:paraId="07791158" w14:textId="77777777" w:rsidR="0038107B" w:rsidRDefault="003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D052" w14:textId="4453519A" w:rsidR="006402B6" w:rsidRDefault="00380476" w:rsidP="006A78BE">
    <w:pPr>
      <w:pBdr>
        <w:top w:val="single" w:sz="4" w:space="1" w:color="auto"/>
      </w:pBdr>
      <w:spacing w:before="120"/>
      <w:ind w:left="1440" w:hanging="1440"/>
      <w:jc w:val="right"/>
    </w:pPr>
    <w:r>
      <w:t xml:space="preserve">Announcement and </w:t>
    </w:r>
    <w:r w:rsidR="0077491C">
      <w:t>Agenda</w:t>
    </w:r>
    <w:r w:rsidR="00362E29">
      <w:t xml:space="preserve"> for </w:t>
    </w:r>
    <w:r>
      <w:t>the WEQ/WGQ FERC Forms Subcommittee</w:t>
    </w:r>
    <w:r w:rsidR="00362E29">
      <w:t xml:space="preserve"> </w:t>
    </w:r>
    <w:r w:rsidR="006402B6">
      <w:t>Conference Call –</w:t>
    </w:r>
    <w:r w:rsidR="0077491C">
      <w:t xml:space="preserve"> </w:t>
    </w:r>
    <w:r w:rsidR="000E4471">
      <w:t>September 1</w:t>
    </w:r>
    <w:r>
      <w:t xml:space="preserve">, </w:t>
    </w:r>
    <w:r w:rsidR="0012342C">
      <w:t>2015</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7109D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0CDC" w14:textId="77777777" w:rsidR="0038107B" w:rsidRDefault="0038107B">
      <w:r>
        <w:separator/>
      </w:r>
    </w:p>
  </w:footnote>
  <w:footnote w:type="continuationSeparator" w:id="0">
    <w:p w14:paraId="67D53B29" w14:textId="77777777" w:rsidR="0038107B" w:rsidRDefault="00381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9C98" w14:textId="77777777" w:rsidR="006402B6" w:rsidRDefault="006402B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2CF305DC" wp14:editId="02348851">
          <wp:simplePos x="0" y="0"/>
          <wp:positionH relativeFrom="column">
            <wp:posOffset>33020</wp:posOffset>
          </wp:positionH>
          <wp:positionV relativeFrom="paragraph">
            <wp:posOffset>-245110</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55766" w14:textId="77777777" w:rsidR="006402B6" w:rsidRDefault="006402B6">
    <w:pPr>
      <w:pStyle w:val="Header"/>
      <w:tabs>
        <w:tab w:val="left" w:pos="1080"/>
      </w:tabs>
      <w:ind w:left="1800"/>
      <w:jc w:val="right"/>
      <w:rPr>
        <w:b/>
        <w:spacing w:val="20"/>
        <w:sz w:val="32"/>
      </w:rPr>
    </w:pPr>
    <w:r>
      <w:rPr>
        <w:b/>
        <w:spacing w:val="20"/>
        <w:sz w:val="32"/>
      </w:rPr>
      <w:t>North American Energy Standards Board</w:t>
    </w:r>
  </w:p>
  <w:p w14:paraId="28F6B847" w14:textId="77777777" w:rsidR="006402B6" w:rsidRDefault="006402B6">
    <w:pPr>
      <w:pStyle w:val="Header"/>
      <w:tabs>
        <w:tab w:val="left" w:pos="680"/>
        <w:tab w:val="right" w:pos="9810"/>
      </w:tabs>
      <w:spacing w:before="60"/>
      <w:ind w:left="1800"/>
      <w:jc w:val="right"/>
    </w:pPr>
    <w:r>
      <w:t>801 Travis, Suite 1675, Houston, Texas 77002</w:t>
    </w:r>
  </w:p>
  <w:p w14:paraId="1C083591" w14:textId="77777777" w:rsidR="006402B6" w:rsidRDefault="006402B6">
    <w:pPr>
      <w:pStyle w:val="Header"/>
      <w:ind w:left="1800"/>
      <w:jc w:val="right"/>
    </w:pPr>
    <w:r>
      <w:t>Phone:  (713) 356-0060, Fax:  (713) 356-0067, E-mail: naesb@naesb.org</w:t>
    </w:r>
  </w:p>
  <w:p w14:paraId="01FBB0E1" w14:textId="77777777" w:rsidR="006402B6" w:rsidRDefault="006402B6">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2FBD59DE" w14:textId="77777777" w:rsidR="006402B6" w:rsidRDefault="006402B6">
    <w:pPr>
      <w:pStyle w:val="Header"/>
      <w:pBdr>
        <w:bottom w:val="single" w:sz="18" w:space="1" w:color="auto"/>
      </w:pBdr>
      <w:ind w:left="1800" w:hanging="1800"/>
      <w:rPr>
        <w:rFonts w:ascii="Bookman Old Style" w:hAnsi="Bookman Old Style"/>
        <w:sz w:val="16"/>
      </w:rPr>
    </w:pPr>
  </w:p>
  <w:p w14:paraId="0E2D60FC" w14:textId="77777777" w:rsidR="006402B6" w:rsidRDefault="006402B6">
    <w:pPr>
      <w:pStyle w:val="Header"/>
      <w:spacing w:after="120"/>
      <w:ind w:left="1800" w:hanging="180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D5A2077"/>
    <w:multiLevelType w:val="hybridMultilevel"/>
    <w:tmpl w:val="7EB6A0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9"/>
  </w:num>
  <w:num w:numId="3">
    <w:abstractNumId w:val="5"/>
  </w:num>
  <w:num w:numId="4">
    <w:abstractNumId w:val="4"/>
  </w:num>
  <w:num w:numId="5">
    <w:abstractNumId w:val="7"/>
  </w:num>
  <w:num w:numId="6">
    <w:abstractNumId w:val="14"/>
  </w:num>
  <w:num w:numId="7">
    <w:abstractNumId w:val="3"/>
  </w:num>
  <w:num w:numId="8">
    <w:abstractNumId w:val="8"/>
  </w:num>
  <w:num w:numId="9">
    <w:abstractNumId w:val="12"/>
  </w:num>
  <w:num w:numId="10">
    <w:abstractNumId w:val="10"/>
  </w:num>
  <w:num w:numId="11">
    <w:abstractNumId w:val="11"/>
  </w:num>
  <w:num w:numId="12">
    <w:abstractNumId w:val="1"/>
  </w:num>
  <w:num w:numId="13">
    <w:abstractNumId w:val="13"/>
  </w:num>
  <w:num w:numId="14">
    <w:abstractNumId w:val="2"/>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6F"/>
    <w:rsid w:val="00007272"/>
    <w:rsid w:val="00014E0D"/>
    <w:rsid w:val="000162C0"/>
    <w:rsid w:val="00030E7B"/>
    <w:rsid w:val="0003682A"/>
    <w:rsid w:val="00036853"/>
    <w:rsid w:val="00053888"/>
    <w:rsid w:val="000558FF"/>
    <w:rsid w:val="00056AAD"/>
    <w:rsid w:val="00057BE8"/>
    <w:rsid w:val="00060F18"/>
    <w:rsid w:val="00084A28"/>
    <w:rsid w:val="000A1E5C"/>
    <w:rsid w:val="000C3C95"/>
    <w:rsid w:val="000D4839"/>
    <w:rsid w:val="000E3449"/>
    <w:rsid w:val="000E4471"/>
    <w:rsid w:val="000F1949"/>
    <w:rsid w:val="00111AEE"/>
    <w:rsid w:val="00114DFD"/>
    <w:rsid w:val="0012342C"/>
    <w:rsid w:val="001278FC"/>
    <w:rsid w:val="00133C96"/>
    <w:rsid w:val="00135120"/>
    <w:rsid w:val="001500CE"/>
    <w:rsid w:val="001520AC"/>
    <w:rsid w:val="001805AF"/>
    <w:rsid w:val="001816BF"/>
    <w:rsid w:val="00193A60"/>
    <w:rsid w:val="001C79CB"/>
    <w:rsid w:val="002050C1"/>
    <w:rsid w:val="002221BC"/>
    <w:rsid w:val="00236039"/>
    <w:rsid w:val="00252387"/>
    <w:rsid w:val="00252472"/>
    <w:rsid w:val="00252B84"/>
    <w:rsid w:val="00273C57"/>
    <w:rsid w:val="002844AE"/>
    <w:rsid w:val="00291925"/>
    <w:rsid w:val="002950E8"/>
    <w:rsid w:val="00297464"/>
    <w:rsid w:val="002B6762"/>
    <w:rsid w:val="002D51C6"/>
    <w:rsid w:val="002E361F"/>
    <w:rsid w:val="002E4AA9"/>
    <w:rsid w:val="002F1B73"/>
    <w:rsid w:val="003200D7"/>
    <w:rsid w:val="00354A93"/>
    <w:rsid w:val="00355B19"/>
    <w:rsid w:val="00362E29"/>
    <w:rsid w:val="003664DB"/>
    <w:rsid w:val="00380476"/>
    <w:rsid w:val="0038107B"/>
    <w:rsid w:val="0038592D"/>
    <w:rsid w:val="003A7AFC"/>
    <w:rsid w:val="003C566C"/>
    <w:rsid w:val="0041063C"/>
    <w:rsid w:val="00415B6D"/>
    <w:rsid w:val="004230D1"/>
    <w:rsid w:val="0043136D"/>
    <w:rsid w:val="00440F1C"/>
    <w:rsid w:val="004569EE"/>
    <w:rsid w:val="00472AD0"/>
    <w:rsid w:val="004B1041"/>
    <w:rsid w:val="004B1F5B"/>
    <w:rsid w:val="004C698F"/>
    <w:rsid w:val="004D3121"/>
    <w:rsid w:val="004E0BC3"/>
    <w:rsid w:val="004E4BAB"/>
    <w:rsid w:val="004E691E"/>
    <w:rsid w:val="00541126"/>
    <w:rsid w:val="00543967"/>
    <w:rsid w:val="005914D6"/>
    <w:rsid w:val="0059272C"/>
    <w:rsid w:val="00592782"/>
    <w:rsid w:val="005B1105"/>
    <w:rsid w:val="005B179C"/>
    <w:rsid w:val="005B75FF"/>
    <w:rsid w:val="005C0973"/>
    <w:rsid w:val="005C16DD"/>
    <w:rsid w:val="005E73EB"/>
    <w:rsid w:val="005F0C17"/>
    <w:rsid w:val="005F213B"/>
    <w:rsid w:val="00604D6A"/>
    <w:rsid w:val="00606F31"/>
    <w:rsid w:val="00612386"/>
    <w:rsid w:val="00617C24"/>
    <w:rsid w:val="006402B6"/>
    <w:rsid w:val="00642447"/>
    <w:rsid w:val="0064520D"/>
    <w:rsid w:val="0066174F"/>
    <w:rsid w:val="006679D1"/>
    <w:rsid w:val="006708C0"/>
    <w:rsid w:val="006732D8"/>
    <w:rsid w:val="00677A06"/>
    <w:rsid w:val="00680EDB"/>
    <w:rsid w:val="00685E14"/>
    <w:rsid w:val="006A78BE"/>
    <w:rsid w:val="006C488C"/>
    <w:rsid w:val="006C5603"/>
    <w:rsid w:val="006C61D8"/>
    <w:rsid w:val="006C7F19"/>
    <w:rsid w:val="006D605D"/>
    <w:rsid w:val="006D7EF2"/>
    <w:rsid w:val="00702F75"/>
    <w:rsid w:val="00707897"/>
    <w:rsid w:val="007109DE"/>
    <w:rsid w:val="007142AC"/>
    <w:rsid w:val="00721D0F"/>
    <w:rsid w:val="00723FD7"/>
    <w:rsid w:val="007322A9"/>
    <w:rsid w:val="0073793D"/>
    <w:rsid w:val="00770252"/>
    <w:rsid w:val="007716E6"/>
    <w:rsid w:val="00774858"/>
    <w:rsid w:val="0077491C"/>
    <w:rsid w:val="00785929"/>
    <w:rsid w:val="00797BA7"/>
    <w:rsid w:val="007B0E9D"/>
    <w:rsid w:val="007E036C"/>
    <w:rsid w:val="007F0D1E"/>
    <w:rsid w:val="007F4075"/>
    <w:rsid w:val="00800CED"/>
    <w:rsid w:val="008072E4"/>
    <w:rsid w:val="008301B3"/>
    <w:rsid w:val="008623C8"/>
    <w:rsid w:val="00866FD4"/>
    <w:rsid w:val="00876015"/>
    <w:rsid w:val="00877E49"/>
    <w:rsid w:val="008869A8"/>
    <w:rsid w:val="008B261F"/>
    <w:rsid w:val="008B2A0A"/>
    <w:rsid w:val="008E1AE7"/>
    <w:rsid w:val="008E7EDA"/>
    <w:rsid w:val="008F161F"/>
    <w:rsid w:val="008F5F83"/>
    <w:rsid w:val="00942A1D"/>
    <w:rsid w:val="009649EF"/>
    <w:rsid w:val="009A6152"/>
    <w:rsid w:val="009B65E0"/>
    <w:rsid w:val="009C4F3A"/>
    <w:rsid w:val="009D3B1F"/>
    <w:rsid w:val="009D51A5"/>
    <w:rsid w:val="009E111A"/>
    <w:rsid w:val="009E2D69"/>
    <w:rsid w:val="009F3C7E"/>
    <w:rsid w:val="00A1521B"/>
    <w:rsid w:val="00A15340"/>
    <w:rsid w:val="00A46DDD"/>
    <w:rsid w:val="00A531C0"/>
    <w:rsid w:val="00A56367"/>
    <w:rsid w:val="00A71637"/>
    <w:rsid w:val="00A733B3"/>
    <w:rsid w:val="00A87816"/>
    <w:rsid w:val="00AA3EF5"/>
    <w:rsid w:val="00AB4831"/>
    <w:rsid w:val="00AB6E7C"/>
    <w:rsid w:val="00AC792D"/>
    <w:rsid w:val="00AD6B10"/>
    <w:rsid w:val="00AE6567"/>
    <w:rsid w:val="00B30951"/>
    <w:rsid w:val="00B31A1B"/>
    <w:rsid w:val="00B3585E"/>
    <w:rsid w:val="00B36145"/>
    <w:rsid w:val="00B36176"/>
    <w:rsid w:val="00B5650E"/>
    <w:rsid w:val="00B60231"/>
    <w:rsid w:val="00B733BF"/>
    <w:rsid w:val="00B76415"/>
    <w:rsid w:val="00B8067C"/>
    <w:rsid w:val="00BB0A54"/>
    <w:rsid w:val="00BC7F3E"/>
    <w:rsid w:val="00BE6BE2"/>
    <w:rsid w:val="00C01683"/>
    <w:rsid w:val="00C23B6F"/>
    <w:rsid w:val="00C25BF7"/>
    <w:rsid w:val="00C3032B"/>
    <w:rsid w:val="00C51A56"/>
    <w:rsid w:val="00C51BE9"/>
    <w:rsid w:val="00C51D1A"/>
    <w:rsid w:val="00CA31B2"/>
    <w:rsid w:val="00CB02C9"/>
    <w:rsid w:val="00CC44B6"/>
    <w:rsid w:val="00CD0437"/>
    <w:rsid w:val="00CD1D2D"/>
    <w:rsid w:val="00CD58EE"/>
    <w:rsid w:val="00CE0EFA"/>
    <w:rsid w:val="00D478B8"/>
    <w:rsid w:val="00D55366"/>
    <w:rsid w:val="00D666B9"/>
    <w:rsid w:val="00D86350"/>
    <w:rsid w:val="00D87711"/>
    <w:rsid w:val="00DA2360"/>
    <w:rsid w:val="00DA5BC4"/>
    <w:rsid w:val="00DB202E"/>
    <w:rsid w:val="00DD7BD8"/>
    <w:rsid w:val="00DF277E"/>
    <w:rsid w:val="00E01809"/>
    <w:rsid w:val="00E04161"/>
    <w:rsid w:val="00E1424A"/>
    <w:rsid w:val="00E37082"/>
    <w:rsid w:val="00E427CC"/>
    <w:rsid w:val="00E429FB"/>
    <w:rsid w:val="00E43CDF"/>
    <w:rsid w:val="00E7240E"/>
    <w:rsid w:val="00ED6845"/>
    <w:rsid w:val="00EE3AB6"/>
    <w:rsid w:val="00F11F99"/>
    <w:rsid w:val="00F36C10"/>
    <w:rsid w:val="00F379A4"/>
    <w:rsid w:val="00F74EAE"/>
    <w:rsid w:val="00F8215E"/>
    <w:rsid w:val="00F90397"/>
    <w:rsid w:val="00F91D27"/>
    <w:rsid w:val="00F978F0"/>
    <w:rsid w:val="00FB5272"/>
    <w:rsid w:val="00FC7BE6"/>
    <w:rsid w:val="00FD6446"/>
    <w:rsid w:val="00FE1FBD"/>
    <w:rsid w:val="00FE33FA"/>
    <w:rsid w:val="00FF52D1"/>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esb@naesb.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esb.org//pdf4/memstat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esb.org/pdf4/weq_wgq_ffs090115w1.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committee_activities.asp" TargetMode="Externa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10" Type="http://schemas.openxmlformats.org/officeDocument/2006/relationships/hyperlink" Target="https://www.naesb.org/ferc_forms.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aesb.org/pdf4/ferc071615_nopr_wgq_v3.0_rm96-1-038.docx" TargetMode="External"/><Relationship Id="rId14" Type="http://schemas.openxmlformats.org/officeDocument/2006/relationships/hyperlink" Target="http://www.naesb.org/committee_activities.as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BD0F-5331-48AE-9020-B0B0E00D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6621</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6</cp:revision>
  <cp:lastPrinted>2008-03-10T15:09:00Z</cp:lastPrinted>
  <dcterms:created xsi:type="dcterms:W3CDTF">2015-08-20T15:43:00Z</dcterms:created>
  <dcterms:modified xsi:type="dcterms:W3CDTF">2015-08-20T21:21:00Z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