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11" w:rsidRDefault="009149E2">
      <w:pPr>
        <w:ind w:left="1440" w:hanging="1440"/>
        <w:jc w:val="right"/>
        <w:rPr>
          <w:b/>
        </w:rPr>
      </w:pPr>
      <w:bookmarkStart w:id="0" w:name="OLE_LINK3"/>
      <w:bookmarkStart w:id="1" w:name="OLE_LINK4"/>
      <w:bookmarkStart w:id="2" w:name="OLE_LINK5"/>
      <w:r>
        <w:rPr>
          <w:b/>
        </w:rPr>
        <w:t xml:space="preserve">June </w:t>
      </w:r>
      <w:r w:rsidR="00E42107">
        <w:rPr>
          <w:b/>
        </w:rPr>
        <w:t>2</w:t>
      </w:r>
      <w:r w:rsidR="004D7131">
        <w:rPr>
          <w:b/>
        </w:rPr>
        <w:t>, 2016</w:t>
      </w:r>
    </w:p>
    <w:p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:rsidR="00736211" w:rsidRDefault="00C649B8" w:rsidP="0091131B">
      <w:pPr>
        <w:spacing w:before="480"/>
        <w:ind w:left="1440" w:hanging="1440"/>
        <w:rPr>
          <w:b/>
        </w:rPr>
      </w:pPr>
      <w:r>
        <w:rPr>
          <w:b/>
        </w:rPr>
        <w:t>TO:</w:t>
      </w:r>
      <w:r>
        <w:rPr>
          <w:b/>
        </w:rPr>
        <w:tab/>
        <w:t xml:space="preserve">NAESB </w:t>
      </w:r>
      <w:r w:rsidR="009149E2">
        <w:rPr>
          <w:b/>
        </w:rPr>
        <w:t>Board of Directors</w:t>
      </w:r>
    </w:p>
    <w:p w:rsidR="00736211" w:rsidRDefault="00C649B8" w:rsidP="0091131B">
      <w:pPr>
        <w:spacing w:before="120"/>
      </w:pPr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:rsidR="00736211" w:rsidRDefault="00C649B8" w:rsidP="0091131B">
      <w:pPr>
        <w:pBdr>
          <w:bottom w:val="single" w:sz="12" w:space="1" w:color="auto"/>
        </w:pBdr>
        <w:spacing w:before="120"/>
        <w:ind w:left="1440" w:hanging="1440"/>
        <w:rPr>
          <w:b/>
        </w:rPr>
      </w:pPr>
      <w:r>
        <w:rPr>
          <w:b/>
        </w:rPr>
        <w:t>RE:</w:t>
      </w:r>
      <w:r w:rsidR="006F66E9">
        <w:tab/>
      </w:r>
      <w:r w:rsidR="00606DF0">
        <w:t xml:space="preserve">NAESB </w:t>
      </w:r>
      <w:r w:rsidR="009149E2">
        <w:t>Board of Directors Notational Ballot – Due June 21, 2016</w:t>
      </w:r>
    </w:p>
    <w:p w:rsidR="00736211" w:rsidRDefault="00736211">
      <w:pPr>
        <w:jc w:val="center"/>
        <w:rPr>
          <w:b/>
        </w:rPr>
      </w:pPr>
    </w:p>
    <w:p w:rsidR="00736211" w:rsidRDefault="00C649B8" w:rsidP="0091131B">
      <w:pPr>
        <w:spacing w:before="240"/>
      </w:pPr>
      <w:bookmarkStart w:id="3" w:name="OLE_LINK1"/>
      <w:bookmarkStart w:id="4" w:name="OLE_LINK2"/>
      <w:r>
        <w:t xml:space="preserve">Dear </w:t>
      </w:r>
      <w:r w:rsidR="009149E2">
        <w:t>NAESB Board Members</w:t>
      </w:r>
      <w:r>
        <w:t>,</w:t>
      </w:r>
    </w:p>
    <w:p w:rsidR="00D41D3D" w:rsidRDefault="009149E2">
      <w:pPr>
        <w:spacing w:before="120" w:after="120"/>
      </w:pPr>
      <w:r>
        <w:t xml:space="preserve">As a result of the working session held </w:t>
      </w:r>
      <w:r w:rsidR="00ED0822">
        <w:t>earlier this week</w:t>
      </w:r>
      <w:r>
        <w:t xml:space="preserve">, our chairman Cade Burks has asked that the attached notational ballot be </w:t>
      </w:r>
      <w:r w:rsidR="0057607A">
        <w:t>distributed for your consideration and vote</w:t>
      </w:r>
      <w:r>
        <w:t xml:space="preserve">.  </w:t>
      </w:r>
      <w:r w:rsidR="0057607A">
        <w:t>The ballot</w:t>
      </w:r>
      <w:r>
        <w:t xml:space="preserve"> includes items that</w:t>
      </w:r>
      <w:r w:rsidR="00D41D3D">
        <w:t>,</w:t>
      </w:r>
      <w:r>
        <w:t xml:space="preserve"> </w:t>
      </w:r>
      <w:r w:rsidR="0057607A">
        <w:t>if approved by the board</w:t>
      </w:r>
      <w:r w:rsidR="00D41D3D">
        <w:t xml:space="preserve">, </w:t>
      </w:r>
      <w:r>
        <w:t>would modify the WEQ and WGQ annual plans related to the efforts of the Gas-Electric Harmonization Forum</w:t>
      </w:r>
      <w:r w:rsidR="0057607A">
        <w:t xml:space="preserve"> regarding issues 22, 25, 26, 33 and 36</w:t>
      </w:r>
      <w:r w:rsidR="002A1C51">
        <w:t>.</w:t>
      </w:r>
      <w:r w:rsidR="0057607A">
        <w:rPr>
          <w:rStyle w:val="FootnoteReference"/>
        </w:rPr>
        <w:footnoteReference w:id="1"/>
      </w:r>
      <w:r w:rsidR="002A1C51">
        <w:t xml:space="preserve">  </w:t>
      </w:r>
      <w:proofErr w:type="gramStart"/>
      <w:r w:rsidR="002A1C51">
        <w:t xml:space="preserve">The possible modifications to the </w:t>
      </w:r>
      <w:r w:rsidR="00D41D3D">
        <w:t xml:space="preserve">WGQ Annual Plan for the inclusion of </w:t>
      </w:r>
      <w:r w:rsidR="0057607A">
        <w:t>Request Nos.</w:t>
      </w:r>
      <w:proofErr w:type="gramEnd"/>
      <w:r w:rsidR="0057607A">
        <w:t xml:space="preserve"> </w:t>
      </w:r>
      <w:r w:rsidR="0057607A" w:rsidRPr="00ED0822">
        <w:t>R16003</w:t>
      </w:r>
      <w:r w:rsidR="0057607A" w:rsidRPr="0057607A">
        <w:rPr>
          <w:rStyle w:val="Hyperlink"/>
          <w:color w:val="auto"/>
          <w:u w:val="none"/>
        </w:rPr>
        <w:t xml:space="preserve">, </w:t>
      </w:r>
      <w:r w:rsidR="0057607A" w:rsidRPr="00ED0822">
        <w:t>R16004</w:t>
      </w:r>
      <w:r w:rsidR="0057607A" w:rsidRPr="0057607A">
        <w:rPr>
          <w:rStyle w:val="Hyperlink"/>
          <w:color w:val="auto"/>
          <w:u w:val="none"/>
        </w:rPr>
        <w:t xml:space="preserve"> and </w:t>
      </w:r>
      <w:r w:rsidR="0057607A" w:rsidRPr="002A1C51">
        <w:t>R16007</w:t>
      </w:r>
      <w:r w:rsidR="0057607A">
        <w:t xml:space="preserve"> </w:t>
      </w:r>
      <w:r w:rsidR="00ED0822">
        <w:t xml:space="preserve">were also discussed on May 31 in the Board Working Session for inclusion in a ballot, and </w:t>
      </w:r>
      <w:r w:rsidR="002A1C51">
        <w:t xml:space="preserve">are the subject of a separate </w:t>
      </w:r>
      <w:r w:rsidR="00ED0822">
        <w:t>action that will be forwarded to you separately</w:t>
      </w:r>
      <w:r w:rsidR="002A1C51">
        <w:t xml:space="preserve">.  </w:t>
      </w:r>
      <w:r w:rsidR="0057607A">
        <w:t xml:space="preserve">The </w:t>
      </w:r>
      <w:r w:rsidR="00D41D3D">
        <w:t>proposed text revisions to the annual plans can be found at the following links:</w:t>
      </w:r>
    </w:p>
    <w:p w:rsidR="00320910" w:rsidRDefault="00D41D3D" w:rsidP="00320910">
      <w:pPr>
        <w:ind w:left="720"/>
        <w:rPr>
          <w:color w:val="1F497D"/>
        </w:rPr>
      </w:pPr>
      <w:r>
        <w:t>Proposed Revisions to the WGQ Annual Plan:</w:t>
      </w:r>
      <w:r w:rsidR="00320910">
        <w:t xml:space="preserve"> </w:t>
      </w:r>
      <w:hyperlink r:id="rId9" w:history="1">
        <w:r w:rsidR="00320910">
          <w:rPr>
            <w:rStyle w:val="Hyperlink"/>
          </w:rPr>
          <w:t>https://www.naesb.org/misc/wgq_2016_annual_</w:t>
        </w:r>
        <w:r w:rsidR="00320910">
          <w:rPr>
            <w:rStyle w:val="Hyperlink"/>
          </w:rPr>
          <w:t>p</w:t>
        </w:r>
        <w:r w:rsidR="00320910">
          <w:rPr>
            <w:rStyle w:val="Hyperlink"/>
          </w:rPr>
          <w:t>lan_gehrev_053116.docx</w:t>
        </w:r>
      </w:hyperlink>
    </w:p>
    <w:p w:rsidR="00D41D3D" w:rsidRDefault="00D41D3D" w:rsidP="00320910">
      <w:pPr>
        <w:spacing w:before="120" w:after="120"/>
        <w:ind w:left="720"/>
      </w:pPr>
      <w:r>
        <w:t>Proposed Revisions to the WEQ Annual Plan:</w:t>
      </w:r>
      <w:r w:rsidR="00320910">
        <w:t xml:space="preserve"> </w:t>
      </w:r>
      <w:hyperlink r:id="rId10" w:history="1">
        <w:r w:rsidR="00320910">
          <w:rPr>
            <w:rStyle w:val="Hyperlink"/>
          </w:rPr>
          <w:t>https://www.naesb.org/misc/weq_2016_annual_plan_geh</w:t>
        </w:r>
        <w:r w:rsidR="00320910">
          <w:rPr>
            <w:rStyle w:val="Hyperlink"/>
          </w:rPr>
          <w:t>r</w:t>
        </w:r>
        <w:r w:rsidR="00320910">
          <w:rPr>
            <w:rStyle w:val="Hyperlink"/>
          </w:rPr>
          <w:t>ev_053116.docx</w:t>
        </w:r>
      </w:hyperlink>
    </w:p>
    <w:p w:rsidR="00697457" w:rsidRDefault="005760F9" w:rsidP="00227082">
      <w:pPr>
        <w:spacing w:before="120"/>
      </w:pPr>
      <w:r>
        <w:t>If you have any questions</w:t>
      </w:r>
      <w:r w:rsidR="0004118B">
        <w:t>,</w:t>
      </w:r>
      <w:r>
        <w:t xml:space="preserve"> </w:t>
      </w:r>
      <w:r w:rsidR="009149E2">
        <w:t xml:space="preserve">please feel free to call or email the NAESB office. </w:t>
      </w:r>
      <w:r w:rsidR="00501C3E">
        <w:t xml:space="preserve">Please note that </w:t>
      </w:r>
      <w:r w:rsidR="00501C3E" w:rsidRPr="00501C3E">
        <w:rPr>
          <w:b/>
          <w:u w:val="single"/>
        </w:rPr>
        <w:t xml:space="preserve">ALL MEMBERS OF THE </w:t>
      </w:r>
      <w:r w:rsidR="009149E2">
        <w:rPr>
          <w:b/>
          <w:u w:val="single"/>
        </w:rPr>
        <w:t>NAESB BOARD OF DIRECTORS</w:t>
      </w:r>
      <w:r w:rsidR="00501C3E" w:rsidRPr="00501C3E">
        <w:rPr>
          <w:b/>
          <w:u w:val="single"/>
        </w:rPr>
        <w:t xml:space="preserve"> ARE REQUESTED TO VOTE.</w:t>
      </w:r>
      <w:r w:rsidR="00944CDD">
        <w:rPr>
          <w:rStyle w:val="FootnoteReference"/>
        </w:rPr>
        <w:footnoteReference w:id="2"/>
      </w:r>
      <w:r w:rsidR="0057607A">
        <w:t xml:space="preserve">  </w:t>
      </w:r>
      <w:r w:rsidR="00C649B8">
        <w:t xml:space="preserve">Comments may certainly be provided </w:t>
      </w:r>
      <w:r w:rsidR="00606DF0">
        <w:t xml:space="preserve">along with your ballots, </w:t>
      </w:r>
      <w:r w:rsidR="00C649B8">
        <w:t xml:space="preserve">and will be posted on the </w:t>
      </w:r>
      <w:hyperlink r:id="rId11" w:history="1">
        <w:r w:rsidR="009149E2" w:rsidRPr="006F03FD">
          <w:rPr>
            <w:rStyle w:val="Hyperlink"/>
          </w:rPr>
          <w:t>Board of</w:t>
        </w:r>
        <w:r w:rsidR="009149E2" w:rsidRPr="006F03FD">
          <w:rPr>
            <w:rStyle w:val="Hyperlink"/>
          </w:rPr>
          <w:t xml:space="preserve"> </w:t>
        </w:r>
        <w:r w:rsidR="009149E2" w:rsidRPr="006F03FD">
          <w:rPr>
            <w:rStyle w:val="Hyperlink"/>
          </w:rPr>
          <w:t>Directors</w:t>
        </w:r>
      </w:hyperlink>
      <w:r w:rsidR="00A91772">
        <w:t xml:space="preserve"> page of the NAESB web site</w:t>
      </w:r>
      <w:bookmarkEnd w:id="0"/>
      <w:bookmarkEnd w:id="1"/>
      <w:bookmarkEnd w:id="2"/>
      <w:bookmarkEnd w:id="3"/>
      <w:bookmarkEnd w:id="4"/>
      <w:r>
        <w:t xml:space="preserve">.  We look forward to your </w:t>
      </w:r>
      <w:r w:rsidR="00606DF0">
        <w:t>vote</w:t>
      </w:r>
      <w:r>
        <w:t>.</w:t>
      </w:r>
    </w:p>
    <w:p w:rsidR="00AB6C9D" w:rsidRDefault="00697457" w:rsidP="00AB6C9D">
      <w:pPr>
        <w:jc w:val="right"/>
      </w:pPr>
      <w:r>
        <w:br w:type="page"/>
      </w:r>
      <w:r w:rsidR="00AB6C9D">
        <w:lastRenderedPageBreak/>
        <w:t>Page 1 of 2 of the Ballot</w:t>
      </w:r>
    </w:p>
    <w:p w:rsidR="00606DF0" w:rsidRPr="00280009" w:rsidRDefault="00606DF0" w:rsidP="00606DF0">
      <w:pPr>
        <w:jc w:val="center"/>
        <w:rPr>
          <w:b/>
        </w:rPr>
      </w:pPr>
      <w:r w:rsidRPr="00280009">
        <w:rPr>
          <w:b/>
        </w:rPr>
        <w:t xml:space="preserve">NAESB </w:t>
      </w:r>
      <w:r w:rsidR="00AB6C9D">
        <w:rPr>
          <w:b/>
        </w:rPr>
        <w:t>Board of Directors</w:t>
      </w:r>
      <w:r w:rsidRPr="00280009">
        <w:rPr>
          <w:b/>
        </w:rPr>
        <w:t xml:space="preserve"> Notational Ballot</w:t>
      </w:r>
      <w:r>
        <w:rPr>
          <w:b/>
        </w:rPr>
        <w:t xml:space="preserve"> </w:t>
      </w:r>
    </w:p>
    <w:p w:rsidR="00606DF0" w:rsidRPr="00280009" w:rsidRDefault="00606DF0" w:rsidP="00606DF0">
      <w:pPr>
        <w:jc w:val="center"/>
        <w:rPr>
          <w:b/>
        </w:rPr>
      </w:pPr>
      <w:r w:rsidRPr="00280009">
        <w:rPr>
          <w:b/>
        </w:rPr>
        <w:t xml:space="preserve">Due </w:t>
      </w:r>
      <w:r w:rsidR="00AB6C9D">
        <w:rPr>
          <w:b/>
        </w:rPr>
        <w:t>June 21</w:t>
      </w:r>
      <w:r w:rsidR="00501C3E">
        <w:rPr>
          <w:b/>
        </w:rPr>
        <w:t xml:space="preserve">, 2016 </w:t>
      </w:r>
      <w:r>
        <w:rPr>
          <w:b/>
        </w:rPr>
        <w:t>t</w:t>
      </w:r>
      <w:r w:rsidRPr="00280009">
        <w:rPr>
          <w:b/>
        </w:rPr>
        <w:t>o NAESB Office</w:t>
      </w:r>
    </w:p>
    <w:p w:rsidR="00606DF0" w:rsidRPr="00280009" w:rsidRDefault="00606DF0" w:rsidP="00606DF0">
      <w:pPr>
        <w:jc w:val="center"/>
        <w:rPr>
          <w:b/>
        </w:rPr>
      </w:pPr>
      <w:r w:rsidRPr="00280009">
        <w:rPr>
          <w:b/>
        </w:rPr>
        <w:t xml:space="preserve">Fax Number 713-356-0067, email </w:t>
      </w:r>
      <w:hyperlink r:id="rId12" w:history="1">
        <w:r w:rsidR="009149E2" w:rsidRPr="0095054F">
          <w:rPr>
            <w:rStyle w:val="Hyperlink"/>
            <w:b/>
          </w:rPr>
          <w:t>naesb@na</w:t>
        </w:r>
        <w:r w:rsidR="009149E2" w:rsidRPr="0095054F">
          <w:rPr>
            <w:rStyle w:val="Hyperlink"/>
            <w:b/>
          </w:rPr>
          <w:t>e</w:t>
        </w:r>
        <w:r w:rsidR="009149E2" w:rsidRPr="0095054F">
          <w:rPr>
            <w:rStyle w:val="Hyperlink"/>
            <w:b/>
          </w:rPr>
          <w:t>sb.org</w:t>
        </w:r>
      </w:hyperlink>
      <w:r w:rsidRPr="00280009">
        <w:rPr>
          <w:b/>
        </w:rPr>
        <w:t xml:space="preserve"> or response to email request</w:t>
      </w:r>
    </w:p>
    <w:p w:rsidR="00606DF0" w:rsidRDefault="00606DF0" w:rsidP="00606DF0">
      <w:pPr>
        <w:jc w:val="center"/>
        <w:rPr>
          <w:b/>
        </w:rPr>
      </w:pPr>
    </w:p>
    <w:p w:rsidR="006F03FD" w:rsidRDefault="00606DF0" w:rsidP="006F03FD">
      <w:pPr>
        <w:rPr>
          <w:color w:val="1F497D"/>
        </w:rPr>
      </w:pPr>
      <w:r w:rsidRPr="00280009">
        <w:t>Please vote in favor of</w:t>
      </w:r>
      <w:r>
        <w:t>,</w:t>
      </w:r>
      <w:r w:rsidRPr="00280009">
        <w:t xml:space="preserve"> in opposition </w:t>
      </w:r>
      <w:r>
        <w:t xml:space="preserve">or as an abstention for the following </w:t>
      </w:r>
      <w:r w:rsidR="00AB6C9D">
        <w:t xml:space="preserve">modifications to the WGQ and WEQ Annual plans.  </w:t>
      </w:r>
      <w:r w:rsidR="00320910">
        <w:t>The plans with the redlined changes are provided as links within the ballot.</w:t>
      </w:r>
    </w:p>
    <w:p w:rsidR="00606DF0" w:rsidRPr="00280009" w:rsidRDefault="00606DF0" w:rsidP="00606DF0">
      <w:pPr>
        <w:pStyle w:val="DefaultText"/>
        <w:rPr>
          <w:sz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00"/>
        <w:gridCol w:w="990"/>
        <w:gridCol w:w="540"/>
        <w:gridCol w:w="6228"/>
      </w:tblGrid>
      <w:tr w:rsidR="0094431E" w:rsidRPr="00280009" w:rsidTr="0094431E">
        <w:trPr>
          <w:trHeight w:val="305"/>
        </w:trPr>
        <w:tc>
          <w:tcPr>
            <w:tcW w:w="918" w:type="dxa"/>
          </w:tcPr>
          <w:p w:rsidR="0094431E" w:rsidRPr="00280009" w:rsidRDefault="0094431E" w:rsidP="000B5FEB">
            <w:pPr>
              <w:pStyle w:val="DefaultText"/>
              <w:spacing w:before="120" w:after="120"/>
              <w:rPr>
                <w:b/>
                <w:bCs/>
                <w:sz w:val="20"/>
              </w:rPr>
            </w:pPr>
            <w:r w:rsidRPr="00280009">
              <w:rPr>
                <w:b/>
                <w:bCs/>
                <w:sz w:val="20"/>
              </w:rPr>
              <w:t>Support</w:t>
            </w:r>
          </w:p>
        </w:tc>
        <w:tc>
          <w:tcPr>
            <w:tcW w:w="900" w:type="dxa"/>
          </w:tcPr>
          <w:p w:rsidR="0094431E" w:rsidRPr="00280009" w:rsidRDefault="0094431E" w:rsidP="000B5FEB">
            <w:pPr>
              <w:pStyle w:val="DefaultText"/>
              <w:spacing w:before="120" w:after="120"/>
              <w:rPr>
                <w:b/>
                <w:bCs/>
                <w:sz w:val="20"/>
              </w:rPr>
            </w:pPr>
            <w:r w:rsidRPr="00280009">
              <w:rPr>
                <w:b/>
                <w:bCs/>
                <w:sz w:val="20"/>
              </w:rPr>
              <w:t>Oppose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4431E" w:rsidRPr="00280009" w:rsidRDefault="0094431E" w:rsidP="000B5FEB">
            <w:pPr>
              <w:pStyle w:val="DefaultText"/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Abstain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4431E" w:rsidRPr="00280009" w:rsidRDefault="0094431E" w:rsidP="000B5FEB">
            <w:pPr>
              <w:pStyle w:val="DefaultText"/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6228" w:type="dxa"/>
          </w:tcPr>
          <w:p w:rsidR="0094431E" w:rsidRPr="00280009" w:rsidRDefault="0094431E" w:rsidP="001D53AC">
            <w:pPr>
              <w:pStyle w:val="DefaultText"/>
              <w:spacing w:before="120" w:after="120"/>
              <w:rPr>
                <w:b/>
                <w:bCs/>
                <w:sz w:val="20"/>
              </w:rPr>
            </w:pPr>
            <w:r w:rsidRPr="00280009">
              <w:rPr>
                <w:b/>
                <w:bCs/>
                <w:sz w:val="20"/>
              </w:rPr>
              <w:t>Action:</w:t>
            </w:r>
          </w:p>
        </w:tc>
      </w:tr>
      <w:tr w:rsidR="0094431E" w:rsidRPr="00280009" w:rsidTr="00CD2CDC">
        <w:trPr>
          <w:trHeight w:val="432"/>
        </w:trPr>
        <w:tc>
          <w:tcPr>
            <w:tcW w:w="9576" w:type="dxa"/>
            <w:gridSpan w:val="5"/>
          </w:tcPr>
          <w:p w:rsidR="0094431E" w:rsidRDefault="0094431E" w:rsidP="001D53AC">
            <w:pPr>
              <w:spacing w:before="60" w:after="60"/>
            </w:pPr>
            <w:r>
              <w:t xml:space="preserve">Modifications to the WGQ Annual Plan </w:t>
            </w:r>
            <w:hyperlink r:id="rId13" w:history="1">
              <w:r w:rsidR="00320910">
                <w:rPr>
                  <w:rStyle w:val="Hyperlink"/>
                </w:rPr>
                <w:t>https://www.naesb.org/misc/wgq_2016_annual_plan_geh</w:t>
              </w:r>
              <w:r w:rsidR="00320910">
                <w:rPr>
                  <w:rStyle w:val="Hyperlink"/>
                </w:rPr>
                <w:t>r</w:t>
              </w:r>
              <w:r w:rsidR="00320910">
                <w:rPr>
                  <w:rStyle w:val="Hyperlink"/>
                </w:rPr>
                <w:t>ev_053116.docx</w:t>
              </w:r>
            </w:hyperlink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Default="00E42107" w:rsidP="00BF6900">
            <w:pPr>
              <w:spacing w:before="60" w:after="60"/>
            </w:pPr>
            <w:r>
              <w:t>1</w:t>
            </w:r>
          </w:p>
        </w:tc>
        <w:tc>
          <w:tcPr>
            <w:tcW w:w="6228" w:type="dxa"/>
          </w:tcPr>
          <w:p w:rsidR="00E42107" w:rsidRPr="001970D3" w:rsidRDefault="00E42107" w:rsidP="00E10863">
            <w:pPr>
              <w:spacing w:before="60" w:after="60"/>
              <w:rPr>
                <w:sz w:val="18"/>
                <w:szCs w:val="18"/>
              </w:rPr>
            </w:pPr>
            <w:r>
              <w:t>Modification to the WGQ Annual Plan for item 3b for the inclusion of item (i) and subparts 1 and 2 to address GEH Forum Issue 22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Pr="001970D3" w:rsidRDefault="00E42107" w:rsidP="00BF690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28" w:type="dxa"/>
          </w:tcPr>
          <w:p w:rsidR="00E42107" w:rsidRPr="001970D3" w:rsidRDefault="00E42107" w:rsidP="00E10863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t>Modification to the WGQ Annual Plan for item 3b for the inclusion of item (ii) and subparts 1 and 2 to address GEH Forum Issue 25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Pr="001970D3" w:rsidRDefault="00E42107" w:rsidP="00AB6C9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8" w:type="dxa"/>
          </w:tcPr>
          <w:p w:rsidR="00E42107" w:rsidRDefault="00E42107" w:rsidP="00E10863">
            <w:pPr>
              <w:spacing w:before="60" w:after="60"/>
            </w:pPr>
            <w:r w:rsidRPr="002D63D4">
              <w:t>Modification to the WGQ Annual Plan for item 3b for the inclusion of item (</w:t>
            </w:r>
            <w:r>
              <w:t>ii</w:t>
            </w:r>
            <w:r w:rsidRPr="002D63D4">
              <w:t>i) and subparts 1 and 2</w:t>
            </w:r>
            <w:r>
              <w:t xml:space="preserve"> to address GEH Forum Issue 26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Default="00E42107" w:rsidP="00AB6C9D">
            <w:pPr>
              <w:spacing w:before="60" w:after="60"/>
            </w:pPr>
            <w:r>
              <w:t>4</w:t>
            </w:r>
          </w:p>
        </w:tc>
        <w:tc>
          <w:tcPr>
            <w:tcW w:w="6228" w:type="dxa"/>
          </w:tcPr>
          <w:p w:rsidR="00E42107" w:rsidRDefault="00E42107" w:rsidP="00E10863">
            <w:pPr>
              <w:spacing w:before="60" w:after="60"/>
            </w:pPr>
            <w:r w:rsidRPr="002D63D4">
              <w:t>Modification to the WGQ Annual Plan for item 3b for the inclusion of item (</w:t>
            </w:r>
            <w:r>
              <w:t>iv</w:t>
            </w:r>
            <w:r w:rsidRPr="002D63D4">
              <w:t>) and subparts 1 and 2</w:t>
            </w:r>
            <w:r>
              <w:t xml:space="preserve"> to address GEH Forum Issue 33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Default="00E42107" w:rsidP="00AB6C9D">
            <w:pPr>
              <w:spacing w:before="60" w:after="60"/>
            </w:pPr>
            <w:r>
              <w:t>5</w:t>
            </w:r>
          </w:p>
        </w:tc>
        <w:tc>
          <w:tcPr>
            <w:tcW w:w="6228" w:type="dxa"/>
          </w:tcPr>
          <w:p w:rsidR="00E42107" w:rsidRDefault="00E42107" w:rsidP="00E10863">
            <w:pPr>
              <w:spacing w:before="60" w:after="60"/>
            </w:pPr>
            <w:r w:rsidRPr="002D63D4">
              <w:t>Modification to the WGQ Annual Plan for item 3b for the inclusion of item (</w:t>
            </w:r>
            <w:r>
              <w:t>v</w:t>
            </w:r>
            <w:r w:rsidRPr="002D63D4">
              <w:t>) and subparts 1 and 2</w:t>
            </w:r>
            <w:r>
              <w:t xml:space="preserve"> to address GEH Forum Issue 36</w:t>
            </w:r>
          </w:p>
        </w:tc>
      </w:tr>
      <w:tr w:rsidR="00E42107" w:rsidRPr="00280009" w:rsidTr="0095470C">
        <w:trPr>
          <w:trHeight w:val="432"/>
        </w:trPr>
        <w:tc>
          <w:tcPr>
            <w:tcW w:w="9576" w:type="dxa"/>
            <w:gridSpan w:val="5"/>
          </w:tcPr>
          <w:p w:rsidR="00E42107" w:rsidRPr="00AB6C9D" w:rsidRDefault="00E42107" w:rsidP="00320910">
            <w:pPr>
              <w:spacing w:before="60" w:after="60"/>
            </w:pPr>
            <w:r>
              <w:t xml:space="preserve">Modifications to the WEQ Annual Plan </w:t>
            </w:r>
            <w:hyperlink r:id="rId14" w:history="1">
              <w:r>
                <w:rPr>
                  <w:rStyle w:val="Hyperlink"/>
                </w:rPr>
                <w:t>https://www.naesb.org/misc/weq_2016_annual_plan_gehrev_</w:t>
              </w:r>
              <w:bookmarkStart w:id="5" w:name="_GoBack"/>
              <w:bookmarkEnd w:id="5"/>
              <w:r>
                <w:rPr>
                  <w:rStyle w:val="Hyperlink"/>
                </w:rPr>
                <w:t>0</w:t>
              </w:r>
              <w:r>
                <w:rPr>
                  <w:rStyle w:val="Hyperlink"/>
                </w:rPr>
                <w:t>53116.docx</w:t>
              </w:r>
            </w:hyperlink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Default="00E42107" w:rsidP="00AB6C9D">
            <w:pPr>
              <w:spacing w:before="60" w:after="60"/>
            </w:pPr>
            <w:r>
              <w:t>6</w:t>
            </w:r>
          </w:p>
        </w:tc>
        <w:tc>
          <w:tcPr>
            <w:tcW w:w="6228" w:type="dxa"/>
          </w:tcPr>
          <w:p w:rsidR="00E42107" w:rsidRPr="00AB6C9D" w:rsidRDefault="00E42107" w:rsidP="00E10863">
            <w:pPr>
              <w:spacing w:before="60" w:after="60"/>
            </w:pPr>
            <w:r w:rsidRPr="00AB6C9D">
              <w:t>Modification to the W</w:t>
            </w:r>
            <w:r>
              <w:t>E</w:t>
            </w:r>
            <w:r w:rsidRPr="00AB6C9D">
              <w:t xml:space="preserve">Q Annual Plan for item </w:t>
            </w:r>
            <w:r>
              <w:t>7</w:t>
            </w:r>
            <w:r w:rsidRPr="00AB6C9D">
              <w:t>b for the inclusion of item (i) and subparts 1 and 2</w:t>
            </w:r>
            <w:r>
              <w:t xml:space="preserve"> to address GEH Forum Issue 22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Pr="00AB6C9D" w:rsidRDefault="00E42107" w:rsidP="00AB6C9D">
            <w:pPr>
              <w:spacing w:before="60" w:after="60"/>
            </w:pPr>
            <w:r>
              <w:t>7</w:t>
            </w:r>
          </w:p>
        </w:tc>
        <w:tc>
          <w:tcPr>
            <w:tcW w:w="6228" w:type="dxa"/>
          </w:tcPr>
          <w:p w:rsidR="00E42107" w:rsidRPr="001970D3" w:rsidRDefault="00E42107" w:rsidP="00E10863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t>Modification to the WEQ Annual Plan for item 7b for the inclusion of item (ii) and subparts 1 and 2 to address GEH Forum Issue 25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Pr="001970D3" w:rsidRDefault="00E42107" w:rsidP="00AB6C9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8" w:type="dxa"/>
          </w:tcPr>
          <w:p w:rsidR="00E42107" w:rsidRDefault="00E42107" w:rsidP="00E10863">
            <w:pPr>
              <w:spacing w:before="60" w:after="60"/>
            </w:pPr>
            <w:r w:rsidRPr="002D63D4">
              <w:t xml:space="preserve">Modification to the </w:t>
            </w:r>
            <w:r>
              <w:t>WE</w:t>
            </w:r>
            <w:r w:rsidRPr="002D63D4">
              <w:t xml:space="preserve">Q Annual Plan for item </w:t>
            </w:r>
            <w:r>
              <w:t>7</w:t>
            </w:r>
            <w:r w:rsidRPr="002D63D4">
              <w:t>b for the inclusion of item (</w:t>
            </w:r>
            <w:r>
              <w:t>ii</w:t>
            </w:r>
            <w:r w:rsidRPr="002D63D4">
              <w:t>i) and subparts 1 and 2</w:t>
            </w:r>
            <w:r>
              <w:t xml:space="preserve"> to address GEH Forum Issue 26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Default="00E42107" w:rsidP="00AB6C9D">
            <w:pPr>
              <w:spacing w:before="60" w:after="60"/>
            </w:pPr>
            <w:r>
              <w:t>9</w:t>
            </w:r>
          </w:p>
        </w:tc>
        <w:tc>
          <w:tcPr>
            <w:tcW w:w="6228" w:type="dxa"/>
          </w:tcPr>
          <w:p w:rsidR="00E42107" w:rsidRDefault="00E42107" w:rsidP="00E10863">
            <w:pPr>
              <w:spacing w:before="60" w:after="60"/>
            </w:pPr>
            <w:r w:rsidRPr="002D63D4">
              <w:t xml:space="preserve">Modification to the </w:t>
            </w:r>
            <w:r>
              <w:t>WE</w:t>
            </w:r>
            <w:r w:rsidRPr="002D63D4">
              <w:t xml:space="preserve">Q Annual Plan for item </w:t>
            </w:r>
            <w:r>
              <w:t>7</w:t>
            </w:r>
            <w:r w:rsidRPr="002D63D4">
              <w:t>b for the inclusion of item (</w:t>
            </w:r>
            <w:r>
              <w:t>iv</w:t>
            </w:r>
            <w:r w:rsidRPr="002D63D4">
              <w:t>) and subparts 1 and 2</w:t>
            </w:r>
            <w:r>
              <w:t xml:space="preserve"> to address GEH Forum Issue 33</w:t>
            </w:r>
          </w:p>
        </w:tc>
      </w:tr>
      <w:tr w:rsidR="00E42107" w:rsidRPr="00280009" w:rsidTr="0094431E">
        <w:trPr>
          <w:trHeight w:val="432"/>
        </w:trPr>
        <w:tc>
          <w:tcPr>
            <w:tcW w:w="918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00" w:type="dxa"/>
          </w:tcPr>
          <w:p w:rsidR="00E42107" w:rsidRPr="00280009" w:rsidRDefault="00E42107" w:rsidP="00BF6900">
            <w:pPr>
              <w:pStyle w:val="DefaultText"/>
              <w:spacing w:before="60" w:after="60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42107" w:rsidRPr="002D4DC3" w:rsidRDefault="00E42107" w:rsidP="00BF6900">
            <w:pPr>
              <w:pStyle w:val="DefaultText"/>
              <w:spacing w:before="60" w:after="60"/>
              <w:jc w:val="both"/>
              <w:rPr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42107" w:rsidRDefault="00E42107" w:rsidP="00AB6C9D">
            <w:pPr>
              <w:spacing w:before="60" w:after="60"/>
            </w:pPr>
            <w:r>
              <w:t>10</w:t>
            </w:r>
          </w:p>
        </w:tc>
        <w:tc>
          <w:tcPr>
            <w:tcW w:w="6228" w:type="dxa"/>
          </w:tcPr>
          <w:p w:rsidR="00E42107" w:rsidRDefault="00E42107" w:rsidP="00E10863">
            <w:pPr>
              <w:spacing w:before="60" w:after="60"/>
            </w:pPr>
            <w:r w:rsidRPr="002D63D4">
              <w:t>Modification to the W</w:t>
            </w:r>
            <w:r>
              <w:t>E</w:t>
            </w:r>
            <w:r w:rsidRPr="002D63D4">
              <w:t xml:space="preserve">Q Annual Plan for item </w:t>
            </w:r>
            <w:r>
              <w:t>7</w:t>
            </w:r>
            <w:r w:rsidRPr="002D63D4">
              <w:t>b for the inclusion of item (</w:t>
            </w:r>
            <w:r>
              <w:t>v</w:t>
            </w:r>
            <w:r w:rsidRPr="002D63D4">
              <w:t>) and subparts 1 and 2</w:t>
            </w:r>
            <w:r>
              <w:t xml:space="preserve"> to address GEH Forum Issue 36</w:t>
            </w:r>
          </w:p>
        </w:tc>
      </w:tr>
    </w:tbl>
    <w:p w:rsidR="00AB6C9D" w:rsidRDefault="00AB6C9D">
      <w:r>
        <w:br w:type="page"/>
      </w:r>
    </w:p>
    <w:p w:rsidR="00AB6C9D" w:rsidRDefault="00AB6C9D" w:rsidP="00AB6C9D">
      <w:pPr>
        <w:jc w:val="right"/>
      </w:pPr>
      <w:r>
        <w:lastRenderedPageBreak/>
        <w:t>Page 2 of 2 of the Ballot</w:t>
      </w:r>
    </w:p>
    <w:p w:rsidR="00AB6C9D" w:rsidRPr="00280009" w:rsidRDefault="00AB6C9D" w:rsidP="00AB6C9D">
      <w:pPr>
        <w:jc w:val="center"/>
        <w:rPr>
          <w:b/>
        </w:rPr>
      </w:pPr>
      <w:r w:rsidRPr="00280009">
        <w:rPr>
          <w:b/>
        </w:rPr>
        <w:t xml:space="preserve">NAESB </w:t>
      </w:r>
      <w:r>
        <w:rPr>
          <w:b/>
        </w:rPr>
        <w:t>Board of Directors</w:t>
      </w:r>
      <w:r w:rsidRPr="00280009">
        <w:rPr>
          <w:b/>
        </w:rPr>
        <w:t xml:space="preserve"> Notational Ballot</w:t>
      </w:r>
      <w:r>
        <w:rPr>
          <w:b/>
        </w:rPr>
        <w:t xml:space="preserve"> </w:t>
      </w:r>
    </w:p>
    <w:p w:rsidR="00AB6C9D" w:rsidRPr="00280009" w:rsidRDefault="00AB6C9D" w:rsidP="00AB6C9D">
      <w:pPr>
        <w:jc w:val="center"/>
        <w:rPr>
          <w:b/>
        </w:rPr>
      </w:pPr>
      <w:r w:rsidRPr="00280009">
        <w:rPr>
          <w:b/>
        </w:rPr>
        <w:t xml:space="preserve">Due </w:t>
      </w:r>
      <w:r>
        <w:rPr>
          <w:b/>
        </w:rPr>
        <w:t>June 21, 2016 t</w:t>
      </w:r>
      <w:r w:rsidRPr="00280009">
        <w:rPr>
          <w:b/>
        </w:rPr>
        <w:t>o NAESB Office</w:t>
      </w:r>
    </w:p>
    <w:p w:rsidR="00AB6C9D" w:rsidRPr="00280009" w:rsidRDefault="00AB6C9D" w:rsidP="00AB6C9D">
      <w:pPr>
        <w:jc w:val="center"/>
        <w:rPr>
          <w:b/>
        </w:rPr>
      </w:pPr>
      <w:r w:rsidRPr="00280009">
        <w:rPr>
          <w:b/>
        </w:rPr>
        <w:t xml:space="preserve">Fax Number 713-356-0067, email </w:t>
      </w:r>
      <w:hyperlink r:id="rId15" w:history="1">
        <w:r w:rsidRPr="0095054F">
          <w:rPr>
            <w:rStyle w:val="Hyperlink"/>
            <w:b/>
          </w:rPr>
          <w:t>naesb@naesb.org</w:t>
        </w:r>
      </w:hyperlink>
      <w:r w:rsidRPr="00280009">
        <w:rPr>
          <w:b/>
        </w:rPr>
        <w:t xml:space="preserve"> or response to email request</w:t>
      </w:r>
    </w:p>
    <w:p w:rsidR="00606DF0" w:rsidRDefault="00606DF0" w:rsidP="00606DF0">
      <w:pPr>
        <w:tabs>
          <w:tab w:val="left" w:pos="720"/>
        </w:tabs>
        <w:ind w:left="2160" w:hanging="2160"/>
        <w:rPr>
          <w:rFonts w:ascii="Bookman Old Style" w:hAnsi="Bookman Old Style" w:cs="Tahoma"/>
        </w:rPr>
      </w:pPr>
    </w:p>
    <w:p w:rsidR="00606DF0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  <w:rPr>
          <w:rFonts w:ascii="Bookman Old Style" w:hAnsi="Bookman Old Style" w:cs="Tahoma"/>
        </w:rPr>
      </w:pP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  <w:r w:rsidRPr="000065DB">
        <w:tab/>
        <w:t>Member Name:</w:t>
      </w:r>
      <w:r w:rsidRPr="000065DB">
        <w:tab/>
      </w:r>
      <w:r>
        <w:tab/>
      </w:r>
      <w:r w:rsidRPr="000065DB">
        <w:t>_______________________________________________________</w:t>
      </w: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  <w:r w:rsidRPr="000065DB">
        <w:tab/>
        <w:t>Member Signature:</w:t>
      </w:r>
      <w:r w:rsidRPr="000065DB">
        <w:tab/>
        <w:t>_______________________________________________________</w:t>
      </w: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  <w:r w:rsidRPr="000065DB">
        <w:tab/>
        <w:t xml:space="preserve">Member Company: </w:t>
      </w:r>
      <w:r w:rsidRPr="000065DB">
        <w:tab/>
        <w:t>_______________________________________________________</w:t>
      </w: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  <w:r w:rsidRPr="000065DB">
        <w:tab/>
      </w:r>
      <w:r w:rsidR="00501C3E">
        <w:t>Quadrant/</w:t>
      </w:r>
      <w:r w:rsidRPr="000065DB">
        <w:t>Segment:</w:t>
      </w:r>
      <w:r w:rsidRPr="000065DB">
        <w:tab/>
        <w:t>_______________________________________________________</w:t>
      </w: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</w:p>
    <w:p w:rsidR="00606DF0" w:rsidRPr="000065DB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</w:pPr>
      <w:r w:rsidRPr="000065DB">
        <w:tab/>
        <w:t xml:space="preserve">Date: </w:t>
      </w:r>
      <w:r w:rsidRPr="000065DB">
        <w:tab/>
      </w:r>
      <w:r w:rsidRPr="000065DB">
        <w:tab/>
        <w:t>_______________________________________________________</w:t>
      </w:r>
    </w:p>
    <w:p w:rsidR="00606DF0" w:rsidRDefault="00606DF0" w:rsidP="00606D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2160" w:hanging="2160"/>
        <w:rPr>
          <w:rFonts w:ascii="Bookman Old Style" w:hAnsi="Bookman Old Style" w:cs="Tahoma"/>
        </w:rPr>
      </w:pPr>
    </w:p>
    <w:p w:rsidR="00606DF0" w:rsidRPr="00213783" w:rsidRDefault="00606DF0" w:rsidP="00606DF0">
      <w:pPr>
        <w:pStyle w:val="Heading1"/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697457" w:rsidRDefault="00697457"/>
    <w:sectPr w:rsidR="00697457" w:rsidSect="00227082">
      <w:headerReference w:type="default" r:id="rId16"/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CB" w:rsidRDefault="009578CB">
      <w:r>
        <w:separator/>
      </w:r>
    </w:p>
  </w:endnote>
  <w:endnote w:type="continuationSeparator" w:id="0">
    <w:p w:rsidR="009578CB" w:rsidRDefault="0095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57" w:rsidRDefault="009149E2">
    <w:pPr>
      <w:pStyle w:val="Footer"/>
      <w:pBdr>
        <w:top w:val="single" w:sz="4" w:space="1" w:color="auto"/>
      </w:pBdr>
      <w:jc w:val="right"/>
    </w:pPr>
    <w:r>
      <w:t>Ballot:  NAESB Board of Directors, GEH Related Additions to the WEQ and WGQ Annual Plans</w:t>
    </w:r>
  </w:p>
  <w:p w:rsidR="00746A0C" w:rsidRDefault="009149E2">
    <w:pPr>
      <w:pStyle w:val="Footer"/>
      <w:pBdr>
        <w:top w:val="single" w:sz="4" w:space="1" w:color="auto"/>
      </w:pBdr>
      <w:jc w:val="right"/>
    </w:pPr>
    <w:r>
      <w:t xml:space="preserve">June </w:t>
    </w:r>
    <w:r w:rsidR="00E42107">
      <w:t>2</w:t>
    </w:r>
    <w:r w:rsidR="00606DF0">
      <w:t xml:space="preserve">, 2016 – Ballot Due </w:t>
    </w:r>
    <w:r>
      <w:t>June 21</w:t>
    </w:r>
    <w:r w:rsidR="00606DF0">
      <w:t>, 2016</w:t>
    </w:r>
  </w:p>
  <w:p w:rsidR="00746A0C" w:rsidRDefault="00746A0C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1D8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CB" w:rsidRDefault="009578CB">
      <w:r>
        <w:separator/>
      </w:r>
    </w:p>
  </w:footnote>
  <w:footnote w:type="continuationSeparator" w:id="0">
    <w:p w:rsidR="009578CB" w:rsidRDefault="009578CB">
      <w:r>
        <w:continuationSeparator/>
      </w:r>
    </w:p>
  </w:footnote>
  <w:footnote w:id="1">
    <w:p w:rsidR="0057607A" w:rsidRPr="00320910" w:rsidRDefault="0057607A" w:rsidP="00320910">
      <w:pPr>
        <w:spacing w:before="120" w:after="120"/>
        <w:rPr>
          <w:sz w:val="18"/>
          <w:szCs w:val="18"/>
        </w:rPr>
      </w:pPr>
      <w:r w:rsidRPr="00320910">
        <w:rPr>
          <w:rStyle w:val="FootnoteReference"/>
          <w:sz w:val="18"/>
          <w:szCs w:val="18"/>
        </w:rPr>
        <w:footnoteRef/>
      </w:r>
      <w:r w:rsidRPr="00320910">
        <w:rPr>
          <w:sz w:val="18"/>
          <w:szCs w:val="18"/>
        </w:rPr>
        <w:t xml:space="preserve"> The description of the issues, the survey responses and comments can be found in the GEH Survey Addendum, found at the following link:</w:t>
      </w:r>
      <w:r w:rsidR="006F03FD" w:rsidRPr="00320910">
        <w:rPr>
          <w:sz w:val="18"/>
          <w:szCs w:val="18"/>
        </w:rPr>
        <w:t xml:space="preserve"> </w:t>
      </w:r>
      <w:r w:rsidRPr="00320910">
        <w:rPr>
          <w:sz w:val="18"/>
          <w:szCs w:val="18"/>
        </w:rPr>
        <w:t xml:space="preserve">  </w:t>
      </w:r>
      <w:hyperlink r:id="rId1" w:history="1">
        <w:r w:rsidR="006F03FD" w:rsidRPr="00320910">
          <w:rPr>
            <w:rStyle w:val="Hyperlink"/>
            <w:sz w:val="18"/>
            <w:szCs w:val="18"/>
          </w:rPr>
          <w:t>https://www.naesb.org/pdf4/geh_report_addendu</w:t>
        </w:r>
        <w:r w:rsidR="006F03FD" w:rsidRPr="00320910">
          <w:rPr>
            <w:rStyle w:val="Hyperlink"/>
            <w:sz w:val="18"/>
            <w:szCs w:val="18"/>
          </w:rPr>
          <w:t>m</w:t>
        </w:r>
        <w:r w:rsidR="006F03FD" w:rsidRPr="00320910">
          <w:rPr>
            <w:rStyle w:val="Hyperlink"/>
            <w:sz w:val="18"/>
            <w:szCs w:val="18"/>
          </w:rPr>
          <w:t>_041816_clean051316.docx</w:t>
        </w:r>
      </w:hyperlink>
    </w:p>
  </w:footnote>
  <w:footnote w:id="2">
    <w:p w:rsidR="00944CDD" w:rsidRPr="00320910" w:rsidRDefault="00944CDD" w:rsidP="00320910">
      <w:pPr>
        <w:spacing w:before="120" w:after="120"/>
        <w:rPr>
          <w:sz w:val="18"/>
          <w:szCs w:val="18"/>
        </w:rPr>
      </w:pPr>
      <w:r w:rsidRPr="00320910">
        <w:rPr>
          <w:rStyle w:val="FootnoteReference"/>
          <w:sz w:val="18"/>
          <w:szCs w:val="18"/>
        </w:rPr>
        <w:footnoteRef/>
      </w:r>
      <w:r w:rsidRPr="00320910">
        <w:rPr>
          <w:sz w:val="18"/>
          <w:szCs w:val="18"/>
        </w:rPr>
        <w:t xml:space="preserve"> The </w:t>
      </w:r>
      <w:r w:rsidR="0057607A" w:rsidRPr="00320910">
        <w:rPr>
          <w:sz w:val="18"/>
          <w:szCs w:val="18"/>
        </w:rPr>
        <w:t>list</w:t>
      </w:r>
      <w:r w:rsidR="009149E2" w:rsidRPr="00320910">
        <w:rPr>
          <w:sz w:val="18"/>
          <w:szCs w:val="18"/>
        </w:rPr>
        <w:t xml:space="preserve"> of the NAESB Board of Directors is</w:t>
      </w:r>
      <w:r w:rsidRPr="00320910">
        <w:rPr>
          <w:sz w:val="18"/>
          <w:szCs w:val="18"/>
        </w:rPr>
        <w:t xml:space="preserve"> provided in the following hyperlink: </w:t>
      </w:r>
      <w:hyperlink r:id="rId2" w:history="1">
        <w:r w:rsidR="006F03FD" w:rsidRPr="00320910">
          <w:rPr>
            <w:rStyle w:val="Hyperlink"/>
            <w:sz w:val="18"/>
            <w:szCs w:val="18"/>
          </w:rPr>
          <w:t>https://ww</w:t>
        </w:r>
        <w:r w:rsidR="006F03FD" w:rsidRPr="00320910">
          <w:rPr>
            <w:rStyle w:val="Hyperlink"/>
            <w:sz w:val="18"/>
            <w:szCs w:val="18"/>
          </w:rPr>
          <w:t>w</w:t>
        </w:r>
        <w:r w:rsidR="006F03FD" w:rsidRPr="00320910">
          <w:rPr>
            <w:rStyle w:val="Hyperlink"/>
            <w:sz w:val="18"/>
            <w:szCs w:val="18"/>
          </w:rPr>
          <w:t>.naesb.org/pdf4/bod_terms.pdf</w:t>
        </w:r>
      </w:hyperlink>
      <w:r w:rsidRPr="003E756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0C" w:rsidRDefault="00746A0C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994D97" wp14:editId="734281EE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A0C" w:rsidRDefault="00746A0C">
    <w:pPr>
      <w:pStyle w:val="Header"/>
      <w:tabs>
        <w:tab w:val="left" w:pos="1080"/>
      </w:tabs>
      <w:jc w:val="center"/>
      <w:rPr>
        <w:b/>
        <w:sz w:val="28"/>
      </w:rPr>
    </w:pPr>
  </w:p>
  <w:p w:rsidR="00746A0C" w:rsidRDefault="00746A0C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:rsidR="00746A0C" w:rsidRDefault="00746A0C">
    <w:pPr>
      <w:pStyle w:val="Header"/>
      <w:jc w:val="right"/>
    </w:pPr>
    <w:r>
      <w:t>801 Travis, Suite 1675, Houston, Texas 77002</w:t>
    </w:r>
  </w:p>
  <w:p w:rsidR="00746A0C" w:rsidRDefault="00746A0C">
    <w:pPr>
      <w:pStyle w:val="Header"/>
      <w:jc w:val="right"/>
      <w:rPr>
        <w:lang w:val="fr-FR"/>
      </w:rPr>
    </w:pPr>
    <w:r>
      <w:rPr>
        <w:lang w:val="fr-FR"/>
      </w:rPr>
      <w:t>Phone</w:t>
    </w:r>
    <w:proofErr w:type="gramStart"/>
    <w:r>
      <w:rPr>
        <w:lang w:val="fr-FR"/>
      </w:rPr>
      <w:t>:  (</w:t>
    </w:r>
    <w:proofErr w:type="gramEnd"/>
    <w:r>
      <w:rPr>
        <w:lang w:val="fr-FR"/>
      </w:rPr>
      <w:t>713) 356-0060, Fax:  (713) 356-0067, E-mail: naesb@naesb.org</w:t>
    </w:r>
  </w:p>
  <w:p w:rsidR="00746A0C" w:rsidRDefault="00746A0C">
    <w:pPr>
      <w:pStyle w:val="Header"/>
      <w:pBdr>
        <w:bottom w:val="single" w:sz="4" w:space="1" w:color="auto"/>
      </w:pBdr>
      <w:jc w:val="right"/>
    </w:pPr>
    <w:r>
      <w:t>Home Page: www.naesb.org</w:t>
    </w:r>
  </w:p>
  <w:p w:rsidR="00746A0C" w:rsidRDefault="00746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F254E1"/>
    <w:multiLevelType w:val="hybridMultilevel"/>
    <w:tmpl w:val="293EA61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62B4"/>
    <w:multiLevelType w:val="hybridMultilevel"/>
    <w:tmpl w:val="CF10147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F55AA"/>
    <w:multiLevelType w:val="hybridMultilevel"/>
    <w:tmpl w:val="681EB958"/>
    <w:lvl w:ilvl="0" w:tplc="6FE4DA76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3F64802"/>
    <w:multiLevelType w:val="hybridMultilevel"/>
    <w:tmpl w:val="6602BDC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5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8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9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665BF9"/>
    <w:multiLevelType w:val="hybridMultilevel"/>
    <w:tmpl w:val="7E786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ED1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3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5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7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1"/>
  </w:num>
  <w:num w:numId="5">
    <w:abstractNumId w:val="23"/>
  </w:num>
  <w:num w:numId="6">
    <w:abstractNumId w:val="2"/>
  </w:num>
  <w:num w:numId="7">
    <w:abstractNumId w:val="22"/>
  </w:num>
  <w:num w:numId="8">
    <w:abstractNumId w:val="2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>
    <w:abstractNumId w:val="0"/>
  </w:num>
  <w:num w:numId="11">
    <w:abstractNumId w:val="19"/>
  </w:num>
  <w:num w:numId="12">
    <w:abstractNumId w:val="24"/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6"/>
  </w:num>
  <w:num w:numId="23">
    <w:abstractNumId w:val="12"/>
  </w:num>
  <w:num w:numId="24">
    <w:abstractNumId w:val="9"/>
  </w:num>
  <w:num w:numId="25">
    <w:abstractNumId w:val="4"/>
  </w:num>
  <w:num w:numId="26">
    <w:abstractNumId w:val="25"/>
  </w:num>
  <w:num w:numId="27">
    <w:abstractNumId w:val="17"/>
  </w:num>
  <w:num w:numId="28">
    <w:abstractNumId w:val="14"/>
  </w:num>
  <w:num w:numId="29">
    <w:abstractNumId w:val="20"/>
  </w:num>
  <w:num w:numId="30">
    <w:abstractNumId w:val="7"/>
  </w:num>
  <w:num w:numId="31">
    <w:abstractNumId w:val="8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11"/>
    <w:rsid w:val="0004118B"/>
    <w:rsid w:val="000533C6"/>
    <w:rsid w:val="000666F1"/>
    <w:rsid w:val="00090EE4"/>
    <w:rsid w:val="0009726D"/>
    <w:rsid w:val="000B255D"/>
    <w:rsid w:val="0010281B"/>
    <w:rsid w:val="0012342E"/>
    <w:rsid w:val="00151E84"/>
    <w:rsid w:val="001C512A"/>
    <w:rsid w:val="001C525B"/>
    <w:rsid w:val="001C70FF"/>
    <w:rsid w:val="001F42C5"/>
    <w:rsid w:val="001F4639"/>
    <w:rsid w:val="002215CB"/>
    <w:rsid w:val="00222965"/>
    <w:rsid w:val="00224C09"/>
    <w:rsid w:val="00227082"/>
    <w:rsid w:val="002360FD"/>
    <w:rsid w:val="002366E5"/>
    <w:rsid w:val="00245727"/>
    <w:rsid w:val="00265841"/>
    <w:rsid w:val="002A1C51"/>
    <w:rsid w:val="002A5301"/>
    <w:rsid w:val="002B0122"/>
    <w:rsid w:val="002C192A"/>
    <w:rsid w:val="002E0438"/>
    <w:rsid w:val="00320910"/>
    <w:rsid w:val="003426F7"/>
    <w:rsid w:val="003B1414"/>
    <w:rsid w:val="003B614E"/>
    <w:rsid w:val="003B6915"/>
    <w:rsid w:val="003D00CB"/>
    <w:rsid w:val="003D1C0C"/>
    <w:rsid w:val="003E7567"/>
    <w:rsid w:val="00443059"/>
    <w:rsid w:val="00465557"/>
    <w:rsid w:val="00470345"/>
    <w:rsid w:val="00492C92"/>
    <w:rsid w:val="004B7F53"/>
    <w:rsid w:val="004D7131"/>
    <w:rsid w:val="004F2491"/>
    <w:rsid w:val="00501C3E"/>
    <w:rsid w:val="0057607A"/>
    <w:rsid w:val="005760F9"/>
    <w:rsid w:val="00576E3B"/>
    <w:rsid w:val="005B51F4"/>
    <w:rsid w:val="005E185E"/>
    <w:rsid w:val="00606DF0"/>
    <w:rsid w:val="006402BC"/>
    <w:rsid w:val="00645221"/>
    <w:rsid w:val="00664625"/>
    <w:rsid w:val="006656EA"/>
    <w:rsid w:val="006878A2"/>
    <w:rsid w:val="00696AC8"/>
    <w:rsid w:val="00697457"/>
    <w:rsid w:val="006B6015"/>
    <w:rsid w:val="006D4BDE"/>
    <w:rsid w:val="006F03FD"/>
    <w:rsid w:val="006F3C94"/>
    <w:rsid w:val="006F66E9"/>
    <w:rsid w:val="00702077"/>
    <w:rsid w:val="00707217"/>
    <w:rsid w:val="00716758"/>
    <w:rsid w:val="00720882"/>
    <w:rsid w:val="007322DB"/>
    <w:rsid w:val="00736211"/>
    <w:rsid w:val="00746A0C"/>
    <w:rsid w:val="007475BC"/>
    <w:rsid w:val="0075109B"/>
    <w:rsid w:val="00753E81"/>
    <w:rsid w:val="00793F1E"/>
    <w:rsid w:val="007D1ED2"/>
    <w:rsid w:val="007E6AB4"/>
    <w:rsid w:val="007F3426"/>
    <w:rsid w:val="00806A91"/>
    <w:rsid w:val="0088371F"/>
    <w:rsid w:val="008958A8"/>
    <w:rsid w:val="008E1D85"/>
    <w:rsid w:val="008F52A4"/>
    <w:rsid w:val="0091131B"/>
    <w:rsid w:val="009149E2"/>
    <w:rsid w:val="00925D74"/>
    <w:rsid w:val="0094431E"/>
    <w:rsid w:val="00944CDD"/>
    <w:rsid w:val="009578CB"/>
    <w:rsid w:val="009B2CFF"/>
    <w:rsid w:val="009D1839"/>
    <w:rsid w:val="009D2EAC"/>
    <w:rsid w:val="009E4571"/>
    <w:rsid w:val="00A02200"/>
    <w:rsid w:val="00A07598"/>
    <w:rsid w:val="00A23D88"/>
    <w:rsid w:val="00A4186A"/>
    <w:rsid w:val="00A636B2"/>
    <w:rsid w:val="00A81A00"/>
    <w:rsid w:val="00A91772"/>
    <w:rsid w:val="00AB6C9D"/>
    <w:rsid w:val="00B043E2"/>
    <w:rsid w:val="00B243BE"/>
    <w:rsid w:val="00B53443"/>
    <w:rsid w:val="00B91B52"/>
    <w:rsid w:val="00BB018A"/>
    <w:rsid w:val="00BF16E5"/>
    <w:rsid w:val="00BF6900"/>
    <w:rsid w:val="00C649B8"/>
    <w:rsid w:val="00C717C9"/>
    <w:rsid w:val="00C72078"/>
    <w:rsid w:val="00C832A0"/>
    <w:rsid w:val="00C83400"/>
    <w:rsid w:val="00CB257C"/>
    <w:rsid w:val="00CB538D"/>
    <w:rsid w:val="00CC2B1F"/>
    <w:rsid w:val="00CD06A8"/>
    <w:rsid w:val="00CF6A89"/>
    <w:rsid w:val="00D004A1"/>
    <w:rsid w:val="00D41D3D"/>
    <w:rsid w:val="00D73FFE"/>
    <w:rsid w:val="00D930E6"/>
    <w:rsid w:val="00DA3DE0"/>
    <w:rsid w:val="00DC2F96"/>
    <w:rsid w:val="00DD3255"/>
    <w:rsid w:val="00DD47D7"/>
    <w:rsid w:val="00DE6D15"/>
    <w:rsid w:val="00DF25A7"/>
    <w:rsid w:val="00DF57FB"/>
    <w:rsid w:val="00E02D9B"/>
    <w:rsid w:val="00E42107"/>
    <w:rsid w:val="00E53D66"/>
    <w:rsid w:val="00E64A8C"/>
    <w:rsid w:val="00EA3AF0"/>
    <w:rsid w:val="00ED0822"/>
    <w:rsid w:val="00ED6E06"/>
    <w:rsid w:val="00EE6F8C"/>
    <w:rsid w:val="00F63E78"/>
    <w:rsid w:val="00FE204A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paragraph" w:styleId="BodyText2">
    <w:name w:val="Body Text 2"/>
    <w:basedOn w:val="Normal"/>
    <w:link w:val="BodyText2Char"/>
    <w:rsid w:val="006974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7457"/>
  </w:style>
  <w:style w:type="paragraph" w:styleId="ListParagraph">
    <w:name w:val="List Paragraph"/>
    <w:basedOn w:val="Normal"/>
    <w:uiPriority w:val="34"/>
    <w:qFormat/>
    <w:rsid w:val="00697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paragraph" w:styleId="BodyText2">
    <w:name w:val="Body Text 2"/>
    <w:basedOn w:val="Normal"/>
    <w:link w:val="BodyText2Char"/>
    <w:rsid w:val="006974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7457"/>
  </w:style>
  <w:style w:type="paragraph" w:styleId="ListParagraph">
    <w:name w:val="List Paragraph"/>
    <w:basedOn w:val="Normal"/>
    <w:uiPriority w:val="34"/>
    <w:qFormat/>
    <w:rsid w:val="0069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esb.org/misc/wgq_2016_annual_plan_gehrev_053116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esb@naesb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weq/weq_bod.asp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aesb@naesb.org" TargetMode="External"/><Relationship Id="rId10" Type="http://schemas.openxmlformats.org/officeDocument/2006/relationships/hyperlink" Target="https://www.naesb.org/misc/weq_2016_annual_plan_gehrev_053116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aesb.org/misc/wgq_2016_annual_plan_gehrev_053116.docx" TargetMode="External"/><Relationship Id="rId14" Type="http://schemas.openxmlformats.org/officeDocument/2006/relationships/hyperlink" Target="https://www.naesb.org/misc/weq_2016_annual_plan_gehrev_053116.docx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esb.org/pdf4/bod_terms.pdf" TargetMode="External"/><Relationship Id="rId1" Type="http://schemas.openxmlformats.org/officeDocument/2006/relationships/hyperlink" Target="https://www.naesb.org/pdf4/geh_report_addendum_041816_clean051316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AF9E-C6D3-4FC5-8C4A-FBC992EF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4470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NAESB</cp:lastModifiedBy>
  <cp:revision>4</cp:revision>
  <cp:lastPrinted>2006-10-16T13:47:00Z</cp:lastPrinted>
  <dcterms:created xsi:type="dcterms:W3CDTF">2016-06-02T14:30:00Z</dcterms:created>
  <dcterms:modified xsi:type="dcterms:W3CDTF">2016-06-02T14:33:00Z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