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D8C11" w14:textId="3C84C6D3" w:rsidR="00C23B6F" w:rsidRPr="00236039" w:rsidRDefault="00624A69" w:rsidP="00DD7BD8">
      <w:pPr>
        <w:spacing w:after="240"/>
        <w:jc w:val="right"/>
      </w:pPr>
      <w:r>
        <w:t>June 1</w:t>
      </w:r>
      <w:r w:rsidR="00666B72">
        <w:t>4</w:t>
      </w:r>
      <w:r w:rsidR="00962445">
        <w:t>, 2019</w:t>
      </w:r>
    </w:p>
    <w:p w14:paraId="4C433F78" w14:textId="7B6D014B" w:rsidR="00236039" w:rsidRPr="00236039" w:rsidRDefault="00236039" w:rsidP="00236039">
      <w:pPr>
        <w:tabs>
          <w:tab w:val="left" w:pos="900"/>
        </w:tabs>
        <w:spacing w:before="120" w:after="120"/>
        <w:ind w:left="907" w:hanging="907"/>
      </w:pPr>
      <w:r w:rsidRPr="00236039">
        <w:rPr>
          <w:b/>
        </w:rPr>
        <w:t>TO:</w:t>
      </w:r>
      <w:r>
        <w:tab/>
        <w:t xml:space="preserve">NAESB </w:t>
      </w:r>
      <w:r w:rsidR="00962445">
        <w:t xml:space="preserve">Retail Market Quadrant Executive Committee and </w:t>
      </w:r>
      <w:r>
        <w:t xml:space="preserve">Wholesale Electric </w:t>
      </w:r>
      <w:r w:rsidRPr="00236039">
        <w:t>Quadrant Executive Committee Members, Alternates and Interested Industry Participants</w:t>
      </w:r>
    </w:p>
    <w:p w14:paraId="4AE6A986" w14:textId="4E90AAAB" w:rsidR="00236039" w:rsidRPr="00236039" w:rsidRDefault="00236039" w:rsidP="00236039">
      <w:pPr>
        <w:tabs>
          <w:tab w:val="left" w:pos="900"/>
        </w:tabs>
        <w:ind w:left="907" w:hanging="907"/>
        <w:rPr>
          <w:bCs/>
        </w:rPr>
      </w:pPr>
      <w:r w:rsidRPr="00236039">
        <w:rPr>
          <w:b/>
          <w:bCs/>
        </w:rPr>
        <w:t>FROM:</w:t>
      </w:r>
      <w:r w:rsidRPr="00236039">
        <w:rPr>
          <w:b/>
          <w:bCs/>
        </w:rPr>
        <w:tab/>
      </w:r>
      <w:r w:rsidR="00962445">
        <w:rPr>
          <w:bCs/>
        </w:rPr>
        <w:t>Caroline Trum, NAESB Deputy Director</w:t>
      </w:r>
      <w:r w:rsidR="00EB275D">
        <w:rPr>
          <w:bCs/>
        </w:rPr>
        <w:t xml:space="preserve"> and Elizabeth Mallett, NAESB Deputy Director</w:t>
      </w:r>
    </w:p>
    <w:p w14:paraId="0E0245BC" w14:textId="6F8ED770" w:rsidR="00236039" w:rsidRPr="0023603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236039">
        <w:rPr>
          <w:b/>
          <w:bCs/>
        </w:rPr>
        <w:t>RE:</w:t>
      </w:r>
      <w:r w:rsidRPr="00236039">
        <w:rPr>
          <w:b/>
          <w:bCs/>
        </w:rPr>
        <w:tab/>
      </w:r>
      <w:bookmarkStart w:id="0" w:name="_GoBack"/>
      <w:r w:rsidR="00962445">
        <w:rPr>
          <w:bCs/>
        </w:rPr>
        <w:t xml:space="preserve">Retail Electric Quadrant (RMQ) and </w:t>
      </w:r>
      <w:r w:rsidRPr="00236039">
        <w:rPr>
          <w:bCs/>
        </w:rPr>
        <w:t xml:space="preserve">Wholesale Electric Quadrant </w:t>
      </w:r>
      <w:r w:rsidR="00962445">
        <w:rPr>
          <w:bCs/>
        </w:rPr>
        <w:t xml:space="preserve">(WEQ) </w:t>
      </w:r>
      <w:r w:rsidRPr="00236039">
        <w:rPr>
          <w:bCs/>
        </w:rPr>
        <w:t>Executive Committee</w:t>
      </w:r>
      <w:r>
        <w:rPr>
          <w:bCs/>
        </w:rPr>
        <w:t xml:space="preserve"> </w:t>
      </w:r>
      <w:r w:rsidR="00962445">
        <w:rPr>
          <w:bCs/>
        </w:rPr>
        <w:t xml:space="preserve">Distributed Ledger Technology </w:t>
      </w:r>
      <w:r w:rsidR="00362E29">
        <w:rPr>
          <w:bCs/>
        </w:rPr>
        <w:t>Task Force</w:t>
      </w:r>
      <w:r w:rsidR="00962445">
        <w:rPr>
          <w:bCs/>
        </w:rPr>
        <w:t>s</w:t>
      </w:r>
      <w:bookmarkEnd w:id="0"/>
      <w:r w:rsidR="00362E29">
        <w:rPr>
          <w:bCs/>
        </w:rPr>
        <w:t xml:space="preserve"> </w:t>
      </w:r>
      <w:r w:rsidR="00A4759D">
        <w:rPr>
          <w:bCs/>
        </w:rPr>
        <w:t>Conference Call – June 24, 2019</w:t>
      </w:r>
      <w:r w:rsidRPr="00236039">
        <w:rPr>
          <w:bCs/>
        </w:rPr>
        <w:t xml:space="preserve"> </w:t>
      </w:r>
      <w:r w:rsidRPr="00236039">
        <w:rPr>
          <w:b/>
          <w:bCs/>
        </w:rPr>
        <w:tab/>
      </w:r>
    </w:p>
    <w:p w14:paraId="0839FECA" w14:textId="617BE008" w:rsidR="003A7AFC" w:rsidRPr="00236039" w:rsidRDefault="003A7AFC" w:rsidP="00DD7BD8">
      <w:pPr>
        <w:tabs>
          <w:tab w:val="left" w:pos="0"/>
        </w:tabs>
        <w:spacing w:before="240" w:after="120"/>
      </w:pPr>
      <w:r w:rsidRPr="00236039">
        <w:t>Dear All</w:t>
      </w:r>
      <w:r w:rsidR="004317D5">
        <w:t>,</w:t>
      </w:r>
    </w:p>
    <w:p w14:paraId="22DEE98E" w14:textId="0C101C5E" w:rsidR="00484367" w:rsidRDefault="001C5DE7" w:rsidP="000976A4">
      <w:pPr>
        <w:tabs>
          <w:tab w:val="left" w:pos="0"/>
        </w:tabs>
        <w:spacing w:before="120" w:after="240"/>
        <w:jc w:val="both"/>
      </w:pPr>
      <w:r>
        <w:t xml:space="preserve">As </w:t>
      </w:r>
      <w:r w:rsidR="00624A69">
        <w:t>previously announced, a conference call of the RMQ/WEQ Executive Committee Distributed Ledger Technology Task Force has been scheduled for Monday, June 2</w:t>
      </w:r>
      <w:r w:rsidR="00A4759D">
        <w:t>4</w:t>
      </w:r>
      <w:r w:rsidR="00624A69">
        <w:t>, 2019 from 10:00 AM – 12:00 PM Central.</w:t>
      </w:r>
      <w:r w:rsidR="003D64CE">
        <w:t xml:space="preserve">  The task forces are charged with addressing </w:t>
      </w:r>
      <w:r>
        <w:t>2019 RMQ Annual Plan Item 7 and 2019 WEQ Annual Plan Item 7</w:t>
      </w:r>
      <w:r w:rsidR="00EB275D">
        <w:t>.b</w:t>
      </w:r>
      <w:r w:rsidR="003D64CE">
        <w:t xml:space="preserve">.  </w:t>
      </w:r>
      <w:bookmarkStart w:id="1" w:name="_Hlk11330521"/>
      <w:r w:rsidR="003D64CE">
        <w:t xml:space="preserve">During the meeting, </w:t>
      </w:r>
      <w:r w:rsidR="00484367">
        <w:t xml:space="preserve">the task forces will continue discussion from the previous meeting </w:t>
      </w:r>
      <w:r w:rsidR="00666B72">
        <w:t xml:space="preserve">on the potential benefits of distributed ledger technology related standards for the renewable energy certificate (REC) process and may potentially vote on </w:t>
      </w:r>
      <w:r w:rsidR="00A86002">
        <w:t>whether</w:t>
      </w:r>
      <w:r w:rsidR="003969DC">
        <w:t xml:space="preserve"> distributed ledger technology related standards or protocols </w:t>
      </w:r>
      <w:r w:rsidR="00666B72">
        <w:t>should be</w:t>
      </w:r>
      <w:r w:rsidR="00953D4A">
        <w:t xml:space="preserve"> </w:t>
      </w:r>
      <w:r w:rsidR="00E37F39">
        <w:t xml:space="preserve">further </w:t>
      </w:r>
      <w:r w:rsidR="00953D4A">
        <w:t>considered.  If the determination is made by the task forces to move</w:t>
      </w:r>
      <w:r w:rsidR="00E37F39">
        <w:t xml:space="preserve"> forward, then the effort will be jointly assigned to RMQ and WEQ subcommittees to </w:t>
      </w:r>
      <w:r w:rsidR="000250C9">
        <w:t>develop distributed ledger related business practices if needed to improve upon the current REC processes for financial and/or sustainability accounting/reporting.</w:t>
      </w:r>
      <w:bookmarkEnd w:id="1"/>
    </w:p>
    <w:tbl>
      <w:tblPr>
        <w:tblW w:w="10098" w:type="dxa"/>
        <w:jc w:val="center"/>
        <w:tblLayout w:type="fixed"/>
        <w:tblLook w:val="01E0" w:firstRow="1" w:lastRow="1" w:firstColumn="1" w:lastColumn="1" w:noHBand="0" w:noVBand="0"/>
      </w:tblPr>
      <w:tblGrid>
        <w:gridCol w:w="1971"/>
        <w:gridCol w:w="8127"/>
      </w:tblGrid>
      <w:tr w:rsidR="002E361F" w14:paraId="675A3562" w14:textId="77777777" w:rsidTr="002E361F">
        <w:trPr>
          <w:tblHeader/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</w:tcBorders>
          </w:tcPr>
          <w:p w14:paraId="213E1FE4" w14:textId="0497E620" w:rsidR="002E361F" w:rsidRDefault="002E361F" w:rsidP="000A1E5C">
            <w:pPr>
              <w:spacing w:before="120" w:after="120"/>
              <w:ind w:right="9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NAESB</w:t>
            </w:r>
            <w:r w:rsidR="00362E29">
              <w:rPr>
                <w:b/>
                <w:bCs/>
                <w:smallCaps/>
              </w:rPr>
              <w:t xml:space="preserve"> </w:t>
            </w:r>
            <w:r w:rsidR="000976A4">
              <w:rPr>
                <w:b/>
                <w:bCs/>
                <w:smallCaps/>
              </w:rPr>
              <w:t xml:space="preserve">RMQ and WEQ </w:t>
            </w:r>
            <w:r w:rsidR="00362E29">
              <w:rPr>
                <w:b/>
                <w:bCs/>
                <w:smallCaps/>
              </w:rPr>
              <w:t>E</w:t>
            </w:r>
            <w:r w:rsidR="000976A4">
              <w:rPr>
                <w:b/>
                <w:bCs/>
                <w:smallCaps/>
              </w:rPr>
              <w:t xml:space="preserve">xecutive </w:t>
            </w:r>
            <w:r w:rsidR="00362E29">
              <w:rPr>
                <w:b/>
                <w:bCs/>
                <w:smallCaps/>
              </w:rPr>
              <w:t>C</w:t>
            </w:r>
            <w:r w:rsidR="000976A4">
              <w:rPr>
                <w:b/>
                <w:bCs/>
                <w:smallCaps/>
              </w:rPr>
              <w:t>ommittees Distributed Ledger Technology</w:t>
            </w:r>
            <w:r w:rsidR="00362E29">
              <w:rPr>
                <w:b/>
                <w:bCs/>
                <w:smallCaps/>
              </w:rPr>
              <w:t xml:space="preserve"> Task Force</w:t>
            </w:r>
            <w:r w:rsidR="000976A4">
              <w:rPr>
                <w:b/>
                <w:bCs/>
                <w:smallCaps/>
              </w:rPr>
              <w:t>s</w:t>
            </w:r>
            <w:r w:rsidR="00362E29">
              <w:rPr>
                <w:b/>
                <w:bCs/>
                <w:smallCaps/>
              </w:rPr>
              <w:t xml:space="preserve"> Conference Call </w:t>
            </w:r>
            <w:r>
              <w:rPr>
                <w:b/>
                <w:bCs/>
                <w:smallCaps/>
              </w:rPr>
              <w:t xml:space="preserve">– </w:t>
            </w:r>
            <w:r w:rsidR="000976A4">
              <w:rPr>
                <w:b/>
                <w:bCs/>
                <w:smallCaps/>
              </w:rPr>
              <w:t xml:space="preserve">June </w:t>
            </w:r>
            <w:r w:rsidR="00DE7B50">
              <w:rPr>
                <w:b/>
                <w:bCs/>
                <w:smallCaps/>
              </w:rPr>
              <w:t>2</w:t>
            </w:r>
            <w:r w:rsidR="00A4759D">
              <w:rPr>
                <w:b/>
                <w:bCs/>
                <w:smallCaps/>
              </w:rPr>
              <w:t>4</w:t>
            </w:r>
            <w:r w:rsidR="000976A4">
              <w:rPr>
                <w:b/>
                <w:bCs/>
                <w:smallCaps/>
              </w:rPr>
              <w:t>, 2019</w:t>
            </w:r>
          </w:p>
        </w:tc>
      </w:tr>
      <w:tr w:rsidR="009D51A5" w14:paraId="5422C877" w14:textId="77777777" w:rsidTr="008B2A0A">
        <w:trPr>
          <w:tblHeader/>
          <w:jc w:val="center"/>
        </w:trPr>
        <w:tc>
          <w:tcPr>
            <w:tcW w:w="1971" w:type="dxa"/>
            <w:tcBorders>
              <w:bottom w:val="single" w:sz="4" w:space="0" w:color="auto"/>
            </w:tcBorders>
          </w:tcPr>
          <w:p w14:paraId="0ABEDC5A" w14:textId="77777777" w:rsidR="009D51A5" w:rsidRDefault="00642447" w:rsidP="00B76415">
            <w:pPr>
              <w:tabs>
                <w:tab w:val="left" w:pos="-4230"/>
              </w:tabs>
              <w:spacing w:before="120" w:after="120"/>
              <w:rPr>
                <w:b/>
                <w:smallCaps/>
              </w:rPr>
            </w:pPr>
            <w:r>
              <w:rPr>
                <w:b/>
                <w:smallCaps/>
              </w:rPr>
              <w:t>Topic</w:t>
            </w:r>
          </w:p>
        </w:tc>
        <w:tc>
          <w:tcPr>
            <w:tcW w:w="8127" w:type="dxa"/>
            <w:tcBorders>
              <w:bottom w:val="single" w:sz="4" w:space="0" w:color="auto"/>
            </w:tcBorders>
          </w:tcPr>
          <w:p w14:paraId="571823D0" w14:textId="77777777" w:rsidR="009D51A5" w:rsidRDefault="009D51A5" w:rsidP="00B76415">
            <w:pPr>
              <w:spacing w:before="120" w:after="120"/>
              <w:ind w:right="1152"/>
              <w:jc w:val="both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Information/Requests</w:t>
            </w:r>
          </w:p>
        </w:tc>
      </w:tr>
      <w:tr w:rsidR="009D51A5" w14:paraId="5E050245" w14:textId="77777777" w:rsidTr="008B2A0A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</w:tcPr>
          <w:p w14:paraId="55715844" w14:textId="77777777" w:rsidR="009D51A5" w:rsidRDefault="009D51A5" w:rsidP="00B76415">
            <w:pPr>
              <w:tabs>
                <w:tab w:val="left" w:pos="0"/>
              </w:tabs>
              <w:spacing w:before="120" w:after="120"/>
            </w:pPr>
            <w:r>
              <w:t>Mission</w:t>
            </w:r>
          </w:p>
        </w:tc>
        <w:tc>
          <w:tcPr>
            <w:tcW w:w="8127" w:type="dxa"/>
            <w:tcBorders>
              <w:bottom w:val="single" w:sz="4" w:space="0" w:color="auto"/>
            </w:tcBorders>
          </w:tcPr>
          <w:p w14:paraId="37FBDC44" w14:textId="5A76325D" w:rsidR="000976A4" w:rsidRDefault="000976A4" w:rsidP="00361E99">
            <w:pPr>
              <w:numPr>
                <w:ilvl w:val="0"/>
                <w:numId w:val="3"/>
              </w:num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The RMQ and WEQ Executive Committees Distributed Ledger Technology Task Forces</w:t>
            </w:r>
            <w:r w:rsidR="00361E99">
              <w:rPr>
                <w:bCs/>
              </w:rPr>
              <w:t xml:space="preserve"> function solely at the pleasure of the RMQ and WEQ Executive Committees and report directly to the RMQ and WEQ Executive Committees.  The task forces are charged with </w:t>
            </w:r>
            <w:r w:rsidR="00F52876">
              <w:rPr>
                <w:bCs/>
              </w:rPr>
              <w:t xml:space="preserve">jointly </w:t>
            </w:r>
            <w:r w:rsidR="00F87A4D">
              <w:rPr>
                <w:bCs/>
              </w:rPr>
              <w:t xml:space="preserve">addressing </w:t>
            </w:r>
            <w:r w:rsidR="00361E99">
              <w:rPr>
                <w:bCs/>
              </w:rPr>
              <w:t>2019 RMQ Annual Plan Item 7.a</w:t>
            </w:r>
            <w:r w:rsidR="00F87A4D">
              <w:rPr>
                <w:bCs/>
              </w:rPr>
              <w:t xml:space="preserve"> and 2019 WEQ Annual Plan Item 7.b.i</w:t>
            </w:r>
            <w:r w:rsidR="00361E99">
              <w:rPr>
                <w:bCs/>
              </w:rPr>
              <w:t xml:space="preserve"> </w:t>
            </w:r>
            <w:r w:rsidR="00F87A4D">
              <w:rPr>
                <w:bCs/>
              </w:rPr>
              <w:t xml:space="preserve">by (1) reviewing the current REC processes for financial and/or sustainability accounting/reporting </w:t>
            </w:r>
            <w:r w:rsidR="00A86002">
              <w:rPr>
                <w:bCs/>
              </w:rPr>
              <w:t xml:space="preserve">and </w:t>
            </w:r>
            <w:r w:rsidR="00361E99">
              <w:rPr>
                <w:bCs/>
              </w:rPr>
              <w:t xml:space="preserve">(2) </w:t>
            </w:r>
            <w:r w:rsidR="00F87A4D">
              <w:rPr>
                <w:bCs/>
              </w:rPr>
              <w:t xml:space="preserve">determining </w:t>
            </w:r>
            <w:r w:rsidR="00A86002">
              <w:rPr>
                <w:bCs/>
              </w:rPr>
              <w:t>whether</w:t>
            </w:r>
            <w:r w:rsidR="00F87A4D">
              <w:rPr>
                <w:bCs/>
              </w:rPr>
              <w:t xml:space="preserve"> </w:t>
            </w:r>
            <w:r w:rsidR="00F52876">
              <w:rPr>
                <w:bCs/>
              </w:rPr>
              <w:t>distributed ledger technology related</w:t>
            </w:r>
            <w:r w:rsidR="00F87A4D">
              <w:rPr>
                <w:bCs/>
              </w:rPr>
              <w:t xml:space="preserve"> </w:t>
            </w:r>
            <w:r w:rsidR="00F52876">
              <w:rPr>
                <w:bCs/>
              </w:rPr>
              <w:t xml:space="preserve">business </w:t>
            </w:r>
            <w:r w:rsidR="00F87A4D">
              <w:rPr>
                <w:bCs/>
              </w:rPr>
              <w:t>practice standards and/or protocols are needed</w:t>
            </w:r>
          </w:p>
          <w:p w14:paraId="38A389C9" w14:textId="050027EF" w:rsidR="00361E99" w:rsidRDefault="00361E99" w:rsidP="00361E99">
            <w:pPr>
              <w:numPr>
                <w:ilvl w:val="0"/>
                <w:numId w:val="3"/>
              </w:num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 xml:space="preserve">Materials for the RMQ Executive Committee Distributed Ledger Technology Task Force are posted on the NAESB website on the RMQ Executive Committee webpage: </w:t>
            </w:r>
            <w:hyperlink r:id="rId8" w:history="1">
              <w:r>
                <w:rPr>
                  <w:rStyle w:val="Hyperlink"/>
                </w:rPr>
                <w:t>https://naesb.org//REQ/req_ec.asp</w:t>
              </w:r>
            </w:hyperlink>
            <w:r>
              <w:t xml:space="preserve"> </w:t>
            </w:r>
          </w:p>
          <w:p w14:paraId="4DEED242" w14:textId="3FDA991A" w:rsidR="009D51A5" w:rsidRPr="00361E99" w:rsidRDefault="00361E99" w:rsidP="00361E99">
            <w:pPr>
              <w:numPr>
                <w:ilvl w:val="0"/>
                <w:numId w:val="3"/>
              </w:num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 xml:space="preserve">Materials for the WEQ Executive Committee Distributed Ledger Technology Task Force are posted on the NAESB website on the WEQ Executive Committee webpage: </w:t>
            </w:r>
            <w:hyperlink r:id="rId9" w:history="1">
              <w:r>
                <w:rPr>
                  <w:rStyle w:val="Hyperlink"/>
                </w:rPr>
                <w:t>https://naesb.org//weq/weq_ec.asp</w:t>
              </w:r>
            </w:hyperlink>
            <w:r>
              <w:t xml:space="preserve"> </w:t>
            </w:r>
          </w:p>
        </w:tc>
      </w:tr>
      <w:tr w:rsidR="009D51A5" w14:paraId="78B6917B" w14:textId="77777777" w:rsidTr="008B2A0A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</w:tcPr>
          <w:p w14:paraId="0134F82C" w14:textId="77777777" w:rsidR="009D51A5" w:rsidRDefault="00007272" w:rsidP="00007272">
            <w:pPr>
              <w:tabs>
                <w:tab w:val="left" w:pos="0"/>
              </w:tabs>
              <w:spacing w:before="120" w:after="120"/>
            </w:pPr>
            <w:r>
              <w:t>Status and Context of Work</w:t>
            </w:r>
          </w:p>
        </w:tc>
        <w:tc>
          <w:tcPr>
            <w:tcW w:w="8127" w:type="dxa"/>
            <w:tcBorders>
              <w:bottom w:val="single" w:sz="4" w:space="0" w:color="auto"/>
            </w:tcBorders>
          </w:tcPr>
          <w:p w14:paraId="4F991B63" w14:textId="05B45D53" w:rsidR="00963113" w:rsidRDefault="00963113" w:rsidP="00963113">
            <w:pPr>
              <w:numPr>
                <w:ilvl w:val="0"/>
                <w:numId w:val="3"/>
              </w:numPr>
              <w:spacing w:before="120" w:after="120"/>
              <w:jc w:val="both"/>
            </w:pPr>
            <w:r>
              <w:t>As approved by the NAESB Board of Directors, the 2019 RMQ and WEQ Annual Plans include</w:t>
            </w:r>
            <w:r w:rsidR="00236941">
              <w:t xml:space="preserve"> </w:t>
            </w:r>
            <w:r>
              <w:t>item</w:t>
            </w:r>
            <w:r w:rsidR="00B044CF">
              <w:t>s</w:t>
            </w:r>
            <w:r>
              <w:t xml:space="preserve"> jointly assigned to the RMQ and WEQ to review the current REC processes for financial and/or sustainability accounting/reporting to determine if distributed ledger technology business practice standards and/or protocols are needed and</w:t>
            </w:r>
            <w:r w:rsidR="00C72174">
              <w:t>,</w:t>
            </w:r>
            <w:r>
              <w:t xml:space="preserve"> if so, </w:t>
            </w:r>
            <w:r w:rsidR="00C72174">
              <w:t xml:space="preserve">to </w:t>
            </w:r>
            <w:r>
              <w:t>develop such standards and/or protocols.</w:t>
            </w:r>
          </w:p>
          <w:p w14:paraId="63957BAD" w14:textId="736CE91B" w:rsidR="009D51A5" w:rsidRDefault="00963113" w:rsidP="00CB7940">
            <w:pPr>
              <w:numPr>
                <w:ilvl w:val="0"/>
                <w:numId w:val="3"/>
              </w:numPr>
              <w:spacing w:before="120" w:after="120"/>
              <w:jc w:val="both"/>
            </w:pPr>
            <w:r>
              <w:t xml:space="preserve">The leadership of the RMQ and WEQ Executive Committees </w:t>
            </w:r>
            <w:r w:rsidR="00B044CF">
              <w:t xml:space="preserve">has </w:t>
            </w:r>
            <w:r>
              <w:t xml:space="preserve">proposed the formation of RMQ and WEQ </w:t>
            </w:r>
            <w:r w:rsidR="0012754D">
              <w:t>E</w:t>
            </w:r>
            <w:r w:rsidR="00E66D7F">
              <w:t xml:space="preserve">xecutive </w:t>
            </w:r>
            <w:r w:rsidR="0012754D">
              <w:t>C</w:t>
            </w:r>
            <w:r w:rsidR="00E66D7F">
              <w:t>ommittee</w:t>
            </w:r>
            <w:r w:rsidR="0012754D">
              <w:t xml:space="preserve"> </w:t>
            </w:r>
            <w:r>
              <w:t>task force</w:t>
            </w:r>
            <w:r w:rsidR="00F52876">
              <w:t>s</w:t>
            </w:r>
            <w:r>
              <w:t xml:space="preserve"> </w:t>
            </w:r>
            <w:r w:rsidR="00F52876">
              <w:t>to address 2019 RMQ Annual Plan Item 7.a and 2019 WEQ Annual Plan Item 7.b.i.  The task forces</w:t>
            </w:r>
            <w:r>
              <w:t xml:space="preserve"> will work jointly </w:t>
            </w:r>
            <w:r w:rsidR="00CB7940">
              <w:t xml:space="preserve">to efficiently conduct the review of the current REC processes as described by the annual plans and </w:t>
            </w:r>
            <w:r w:rsidR="00F27CE1">
              <w:t xml:space="preserve">make a </w:t>
            </w:r>
            <w:r w:rsidR="00F27CE1">
              <w:lastRenderedPageBreak/>
              <w:t xml:space="preserve">determination as to </w:t>
            </w:r>
            <w:r w:rsidR="00D703F5">
              <w:t>whether</w:t>
            </w:r>
            <w:r w:rsidR="00F27CE1">
              <w:t xml:space="preserve"> the processes would benefit from the development of </w:t>
            </w:r>
            <w:r w:rsidR="00A86002">
              <w:t>distributed ledger technology related</w:t>
            </w:r>
            <w:r w:rsidR="00F27CE1">
              <w:t xml:space="preserve"> business practices and/or protocols.</w:t>
            </w:r>
          </w:p>
        </w:tc>
      </w:tr>
      <w:tr w:rsidR="009D51A5" w14:paraId="27570239" w14:textId="77777777" w:rsidTr="008B2A0A">
        <w:trPr>
          <w:jc w:val="center"/>
        </w:trPr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0EF822A2" w14:textId="77777777" w:rsidR="00DA2360" w:rsidRDefault="009D51A5" w:rsidP="00DA2360">
            <w:pPr>
              <w:keepNext/>
              <w:spacing w:before="120" w:after="120"/>
            </w:pPr>
            <w:r>
              <w:lastRenderedPageBreak/>
              <w:t>Call-in &amp; web cast information</w:t>
            </w:r>
            <w:r w:rsidR="00007272">
              <w:t xml:space="preserve"> for </w:t>
            </w:r>
            <w:r w:rsidR="00DA2360">
              <w:t>:</w:t>
            </w:r>
          </w:p>
          <w:p w14:paraId="60555992" w14:textId="2F3334A2" w:rsidR="00DA2360" w:rsidRDefault="00DE7B50" w:rsidP="00DA2360">
            <w:pPr>
              <w:keepNext/>
              <w:spacing w:before="120" w:after="120"/>
            </w:pPr>
            <w:r>
              <w:t>Monday, June 2</w:t>
            </w:r>
            <w:r w:rsidR="00E51426">
              <w:t>4</w:t>
            </w:r>
            <w:r w:rsidR="00CB7940">
              <w:t>, 2019</w:t>
            </w:r>
          </w:p>
          <w:p w14:paraId="455A2322" w14:textId="05D0F9AD" w:rsidR="009D51A5" w:rsidRDefault="00CB7940" w:rsidP="00A15340">
            <w:pPr>
              <w:keepNext/>
              <w:spacing w:before="120" w:after="120"/>
            </w:pPr>
            <w:r>
              <w:t>1</w:t>
            </w:r>
            <w:r w:rsidR="00DE7B50">
              <w:t>0</w:t>
            </w:r>
            <w:r>
              <w:t xml:space="preserve">:00 </w:t>
            </w:r>
            <w:r w:rsidR="00DE7B50">
              <w:t>A</w:t>
            </w:r>
            <w:r>
              <w:t xml:space="preserve">M </w:t>
            </w:r>
            <w:r w:rsidR="00007272">
              <w:t xml:space="preserve">to </w:t>
            </w:r>
            <w:r w:rsidR="00DE7B50">
              <w:t>12</w:t>
            </w:r>
            <w:r w:rsidR="000746C7">
              <w:t>:</w:t>
            </w:r>
            <w:r w:rsidR="00DE7B50">
              <w:t>0</w:t>
            </w:r>
            <w:r w:rsidR="000746C7">
              <w:t>0</w:t>
            </w:r>
            <w:r>
              <w:t xml:space="preserve"> PM</w:t>
            </w:r>
            <w:r w:rsidR="00007272">
              <w:t xml:space="preserve"> C</w:t>
            </w:r>
            <w:r w:rsidR="009D51A5">
              <w:t>:</w:t>
            </w:r>
          </w:p>
        </w:tc>
        <w:tc>
          <w:tcPr>
            <w:tcW w:w="8127" w:type="dxa"/>
            <w:tcBorders>
              <w:top w:val="single" w:sz="4" w:space="0" w:color="auto"/>
              <w:bottom w:val="single" w:sz="4" w:space="0" w:color="auto"/>
            </w:tcBorders>
          </w:tcPr>
          <w:p w14:paraId="39D36F6F" w14:textId="30CA0774" w:rsidR="009D51A5" w:rsidRDefault="00B04A09" w:rsidP="00B76415">
            <w:pPr>
              <w:numPr>
                <w:ilvl w:val="0"/>
                <w:numId w:val="3"/>
              </w:numPr>
              <w:spacing w:before="120" w:after="120"/>
            </w:pPr>
            <w:r>
              <w:t>Please contact the NAESB office if you are interested in participating.</w:t>
            </w:r>
          </w:p>
          <w:p w14:paraId="7F66D71A" w14:textId="77777777" w:rsidR="009D51A5" w:rsidRDefault="009D51A5" w:rsidP="00BE6BE2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Any interested party </w:t>
            </w:r>
            <w:r w:rsidR="00BE6BE2">
              <w:t>may</w:t>
            </w:r>
            <w:r>
              <w:t xml:space="preserve"> attend.</w:t>
            </w:r>
          </w:p>
        </w:tc>
      </w:tr>
      <w:tr w:rsidR="009D51A5" w14:paraId="15213C70" w14:textId="77777777" w:rsidTr="008B2A0A">
        <w:trPr>
          <w:jc w:val="center"/>
        </w:trPr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4FFD0F43" w14:textId="77777777" w:rsidR="009D51A5" w:rsidRDefault="009D51A5" w:rsidP="00B76415">
            <w:pPr>
              <w:spacing w:before="120" w:after="120"/>
            </w:pPr>
            <w:r>
              <w:t>Draft Agenda</w:t>
            </w:r>
          </w:p>
        </w:tc>
        <w:tc>
          <w:tcPr>
            <w:tcW w:w="8127" w:type="dxa"/>
            <w:tcBorders>
              <w:top w:val="single" w:sz="4" w:space="0" w:color="auto"/>
              <w:bottom w:val="single" w:sz="4" w:space="0" w:color="auto"/>
            </w:tcBorders>
          </w:tcPr>
          <w:p w14:paraId="3A3F4CEA" w14:textId="77777777" w:rsidR="00DA2360" w:rsidRDefault="009D51A5" w:rsidP="00B76415">
            <w:pPr>
              <w:numPr>
                <w:ilvl w:val="0"/>
                <w:numId w:val="4"/>
              </w:numPr>
              <w:spacing w:before="120" w:after="60"/>
            </w:pPr>
            <w:r>
              <w:t>Administrative</w:t>
            </w:r>
            <w:r w:rsidR="00DA2360">
              <w:t>:</w:t>
            </w:r>
          </w:p>
          <w:p w14:paraId="2976831A" w14:textId="77777777" w:rsidR="00DA2360" w:rsidRDefault="00DA2360" w:rsidP="008B2A0A">
            <w:pPr>
              <w:numPr>
                <w:ilvl w:val="0"/>
                <w:numId w:val="8"/>
              </w:numPr>
              <w:tabs>
                <w:tab w:val="clear" w:pos="288"/>
                <w:tab w:val="num" w:pos="342"/>
              </w:tabs>
              <w:spacing w:after="40"/>
              <w:ind w:left="346" w:firstLine="0"/>
            </w:pPr>
            <w:r>
              <w:t>Welcome</w:t>
            </w:r>
            <w:r w:rsidR="009D51A5">
              <w:t xml:space="preserve"> </w:t>
            </w:r>
          </w:p>
          <w:p w14:paraId="42904AF8" w14:textId="77777777" w:rsidR="00DA2360" w:rsidRDefault="00DA2360" w:rsidP="008B2A0A">
            <w:pPr>
              <w:numPr>
                <w:ilvl w:val="0"/>
                <w:numId w:val="8"/>
              </w:numPr>
              <w:tabs>
                <w:tab w:val="clear" w:pos="288"/>
                <w:tab w:val="num" w:pos="342"/>
              </w:tabs>
              <w:spacing w:after="40"/>
              <w:ind w:left="346" w:firstLine="0"/>
            </w:pPr>
            <w:r>
              <w:t>Antitrust Guidance</w:t>
            </w:r>
          </w:p>
          <w:p w14:paraId="3498F3B8" w14:textId="77777777" w:rsidR="00DA2360" w:rsidRDefault="009D51A5" w:rsidP="008B2A0A">
            <w:pPr>
              <w:numPr>
                <w:ilvl w:val="0"/>
                <w:numId w:val="8"/>
              </w:numPr>
              <w:tabs>
                <w:tab w:val="clear" w:pos="288"/>
                <w:tab w:val="num" w:pos="342"/>
              </w:tabs>
              <w:spacing w:after="40"/>
              <w:ind w:left="346" w:firstLine="0"/>
            </w:pPr>
            <w:r>
              <w:t>Adoption of Agenda</w:t>
            </w:r>
          </w:p>
          <w:p w14:paraId="0DAEB04A" w14:textId="12FC5E0B" w:rsidR="00CB7940" w:rsidRDefault="00DE7B50" w:rsidP="00CB7940">
            <w:pPr>
              <w:numPr>
                <w:ilvl w:val="0"/>
                <w:numId w:val="8"/>
              </w:numPr>
              <w:tabs>
                <w:tab w:val="clear" w:pos="288"/>
                <w:tab w:val="num" w:pos="342"/>
              </w:tabs>
              <w:spacing w:after="60"/>
              <w:ind w:left="346" w:firstLine="0"/>
            </w:pPr>
            <w:r>
              <w:t>Adoption of Meeting Notes</w:t>
            </w:r>
          </w:p>
          <w:p w14:paraId="715A03F1" w14:textId="345FC5E1" w:rsidR="00CB7940" w:rsidRDefault="00DE7B50" w:rsidP="00A531C0">
            <w:pPr>
              <w:numPr>
                <w:ilvl w:val="0"/>
                <w:numId w:val="4"/>
              </w:numPr>
              <w:spacing w:before="120" w:after="120"/>
            </w:pPr>
            <w:bookmarkStart w:id="2" w:name="_Hlk11330571"/>
            <w:r>
              <w:t xml:space="preserve">Continue </w:t>
            </w:r>
            <w:r w:rsidR="00A86002">
              <w:t xml:space="preserve">to </w:t>
            </w:r>
            <w:r w:rsidR="00CB7940">
              <w:t xml:space="preserve">Discuss </w:t>
            </w:r>
            <w:r w:rsidR="00F27CE1">
              <w:t xml:space="preserve">the Current REC Processes </w:t>
            </w:r>
            <w:r w:rsidR="00A86002">
              <w:t xml:space="preserve">and </w:t>
            </w:r>
            <w:r w:rsidR="000746C7">
              <w:t xml:space="preserve">Potential </w:t>
            </w:r>
            <w:r w:rsidR="00A86002">
              <w:t xml:space="preserve">Benefits of Distributed Ledger Technology Related Standards </w:t>
            </w:r>
            <w:r w:rsidR="000746C7">
              <w:t>and/or Protocols</w:t>
            </w:r>
            <w:r w:rsidR="00254C0E">
              <w:t xml:space="preserve"> and Potentially Vote on </w:t>
            </w:r>
            <w:r w:rsidR="000250C9">
              <w:t>Whether Standards Development Should Be Considered</w:t>
            </w:r>
          </w:p>
          <w:bookmarkEnd w:id="2"/>
          <w:p w14:paraId="76A8DBA8" w14:textId="452E2004" w:rsidR="007F0D1E" w:rsidRDefault="00DA2360" w:rsidP="00B76415">
            <w:pPr>
              <w:numPr>
                <w:ilvl w:val="0"/>
                <w:numId w:val="4"/>
              </w:numPr>
              <w:spacing w:after="60"/>
            </w:pPr>
            <w:r>
              <w:t>D</w:t>
            </w:r>
            <w:r w:rsidR="00FF52D1">
              <w:t>iscuss</w:t>
            </w:r>
            <w:r>
              <w:t xml:space="preserve"> </w:t>
            </w:r>
            <w:r w:rsidR="00CB7940">
              <w:t xml:space="preserve">Next Steps </w:t>
            </w:r>
          </w:p>
          <w:p w14:paraId="46FFB7D0" w14:textId="77777777" w:rsidR="009D51A5" w:rsidRDefault="009D51A5" w:rsidP="00B76415">
            <w:pPr>
              <w:numPr>
                <w:ilvl w:val="0"/>
                <w:numId w:val="4"/>
              </w:numPr>
              <w:spacing w:after="60"/>
            </w:pPr>
            <w:r>
              <w:t>Other Business</w:t>
            </w:r>
          </w:p>
          <w:p w14:paraId="5B3B8319" w14:textId="77777777" w:rsidR="009D51A5" w:rsidRDefault="009D51A5" w:rsidP="00B76415">
            <w:pPr>
              <w:numPr>
                <w:ilvl w:val="0"/>
                <w:numId w:val="4"/>
              </w:numPr>
              <w:spacing w:after="120"/>
            </w:pPr>
            <w:r>
              <w:t>Adjourn</w:t>
            </w:r>
          </w:p>
        </w:tc>
      </w:tr>
      <w:tr w:rsidR="006A78BE" w14:paraId="7325D015" w14:textId="77777777" w:rsidTr="008B2A0A">
        <w:trPr>
          <w:jc w:val="center"/>
        </w:trPr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37184CCF" w14:textId="77777777" w:rsidR="006A78BE" w:rsidRDefault="006A78BE" w:rsidP="006A78BE">
            <w:pPr>
              <w:tabs>
                <w:tab w:val="left" w:pos="0"/>
              </w:tabs>
              <w:spacing w:before="120" w:after="120"/>
            </w:pPr>
            <w:r>
              <w:t>Pre-meeting Assignments</w:t>
            </w:r>
          </w:p>
        </w:tc>
        <w:tc>
          <w:tcPr>
            <w:tcW w:w="8127" w:type="dxa"/>
            <w:tcBorders>
              <w:top w:val="single" w:sz="4" w:space="0" w:color="auto"/>
              <w:bottom w:val="single" w:sz="4" w:space="0" w:color="auto"/>
            </w:tcBorders>
          </w:tcPr>
          <w:p w14:paraId="3A477CEA" w14:textId="429B3F05" w:rsidR="001278FC" w:rsidRDefault="006A78BE" w:rsidP="00232CA0">
            <w:pPr>
              <w:numPr>
                <w:ilvl w:val="0"/>
                <w:numId w:val="3"/>
              </w:numPr>
              <w:spacing w:before="120" w:after="120"/>
              <w:jc w:val="both"/>
            </w:pPr>
            <w:r>
              <w:t>Review</w:t>
            </w:r>
            <w:r w:rsidR="00A531C0">
              <w:t xml:space="preserve"> </w:t>
            </w:r>
            <w:r w:rsidR="00232CA0">
              <w:t xml:space="preserve">2019 RMQ </w:t>
            </w:r>
            <w:r w:rsidR="00F27CE1">
              <w:t xml:space="preserve">Annual Plan Item 7.a </w:t>
            </w:r>
            <w:r w:rsidR="00232CA0">
              <w:t>and WEQ Annual Plan Item 7</w:t>
            </w:r>
            <w:r w:rsidR="00F27CE1">
              <w:t>.b.i</w:t>
            </w:r>
            <w:r w:rsidR="00232CA0">
              <w:t>.</w:t>
            </w:r>
          </w:p>
          <w:p w14:paraId="59235FD4" w14:textId="0B83CB27" w:rsidR="00232CA0" w:rsidRPr="00A531C0" w:rsidRDefault="00232CA0" w:rsidP="00232CA0">
            <w:pPr>
              <w:numPr>
                <w:ilvl w:val="0"/>
                <w:numId w:val="3"/>
              </w:numPr>
              <w:spacing w:before="120" w:after="120"/>
              <w:jc w:val="both"/>
              <w:rPr>
                <w:rStyle w:val="Hyperlink"/>
                <w:color w:val="auto"/>
                <w:u w:val="none"/>
              </w:rPr>
            </w:pPr>
            <w:r>
              <w:t>Review posted work papers.</w:t>
            </w:r>
          </w:p>
          <w:p w14:paraId="056447DE" w14:textId="77777777" w:rsidR="006A78BE" w:rsidRDefault="006A78BE" w:rsidP="00232CA0">
            <w:pPr>
              <w:numPr>
                <w:ilvl w:val="0"/>
                <w:numId w:val="3"/>
              </w:numPr>
              <w:spacing w:before="120" w:after="120"/>
              <w:jc w:val="both"/>
            </w:pPr>
            <w:r>
              <w:t>Provide any</w:t>
            </w:r>
            <w:r w:rsidR="00A531C0">
              <w:t xml:space="preserve"> additional work papers or</w:t>
            </w:r>
            <w:r>
              <w:t xml:space="preserve"> comments to the NAESB office for posting and consideration (</w:t>
            </w:r>
            <w:hyperlink r:id="rId10" w:history="1">
              <w:r w:rsidRPr="000A6CEE">
                <w:rPr>
                  <w:rStyle w:val="Hyperlink"/>
                </w:rPr>
                <w:t>naesb@naesb.org</w:t>
              </w:r>
            </w:hyperlink>
            <w:r>
              <w:t>)</w:t>
            </w:r>
          </w:p>
        </w:tc>
      </w:tr>
      <w:tr w:rsidR="00F36C10" w14:paraId="253E2DA3" w14:textId="77777777" w:rsidTr="008B2A0A">
        <w:trPr>
          <w:jc w:val="center"/>
        </w:trPr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0CACBDED" w14:textId="77777777" w:rsidR="00F36C10" w:rsidRPr="00797BA7" w:rsidRDefault="00F36C10" w:rsidP="006A78BE">
            <w:pPr>
              <w:keepNext/>
              <w:spacing w:before="120" w:after="120"/>
            </w:pPr>
            <w:r w:rsidRPr="00797BA7">
              <w:t>Meeting &amp; Background Reference Materials</w:t>
            </w:r>
          </w:p>
        </w:tc>
        <w:tc>
          <w:tcPr>
            <w:tcW w:w="8127" w:type="dxa"/>
            <w:tcBorders>
              <w:top w:val="single" w:sz="4" w:space="0" w:color="auto"/>
              <w:bottom w:val="single" w:sz="4" w:space="0" w:color="auto"/>
            </w:tcBorders>
          </w:tcPr>
          <w:p w14:paraId="59FEF028" w14:textId="77777777" w:rsidR="00F36C10" w:rsidRPr="00F36C10" w:rsidRDefault="00F36C10" w:rsidP="00A531C0">
            <w:pPr>
              <w:keepNext/>
              <w:keepLines/>
              <w:spacing w:before="120" w:after="120"/>
              <w:rPr>
                <w:b/>
                <w:smallCaps/>
              </w:rPr>
            </w:pPr>
            <w:r w:rsidRPr="00F36C10">
              <w:rPr>
                <w:b/>
                <w:smallCaps/>
              </w:rPr>
              <w:t>Meeting Materials:</w:t>
            </w:r>
          </w:p>
          <w:p w14:paraId="24501E2D" w14:textId="77777777" w:rsidR="00F36C10" w:rsidRPr="00A531C0" w:rsidRDefault="00F36C10" w:rsidP="00A531C0">
            <w:pPr>
              <w:keepNext/>
              <w:keepLines/>
              <w:numPr>
                <w:ilvl w:val="0"/>
                <w:numId w:val="3"/>
              </w:numPr>
              <w:spacing w:before="120" w:after="120"/>
              <w:rPr>
                <w:rStyle w:val="Hyperlink"/>
                <w:color w:val="auto"/>
                <w:u w:val="none"/>
              </w:rPr>
            </w:pPr>
            <w:r w:rsidRPr="00252B84">
              <w:t xml:space="preserve">Antitrust Guidance:  </w:t>
            </w:r>
            <w:hyperlink r:id="rId11" w:history="1">
              <w:r w:rsidRPr="00252B84">
                <w:rPr>
                  <w:rStyle w:val="Hyperlink"/>
                </w:rPr>
                <w:t>http://www.naesb.org/misc/antitrust_guidance.doc</w:t>
              </w:r>
            </w:hyperlink>
          </w:p>
          <w:p w14:paraId="2C53C876" w14:textId="692126C9" w:rsidR="00976A01" w:rsidRPr="00797BA7" w:rsidRDefault="00232CA0" w:rsidP="000F5615">
            <w:pPr>
              <w:keepNext/>
              <w:keepLines/>
              <w:numPr>
                <w:ilvl w:val="0"/>
                <w:numId w:val="3"/>
              </w:numPr>
              <w:spacing w:before="120" w:after="120"/>
            </w:pPr>
            <w:r w:rsidRPr="00976A01">
              <w:t xml:space="preserve">Meeting </w:t>
            </w:r>
            <w:r w:rsidR="00A531C0" w:rsidRPr="00976A01">
              <w:t>Work Paper</w:t>
            </w:r>
            <w:r w:rsidR="00976A01" w:rsidRPr="00976A01">
              <w:t>s:</w:t>
            </w:r>
            <w:r w:rsidR="000F5615">
              <w:t xml:space="preserve"> </w:t>
            </w:r>
            <w:r w:rsidR="00976A01" w:rsidRPr="000F5615">
              <w:rPr>
                <w:i/>
              </w:rPr>
              <w:t xml:space="preserve">to be provided </w:t>
            </w:r>
            <w:r w:rsidR="00666B72" w:rsidRPr="000F5615">
              <w:rPr>
                <w:i/>
              </w:rPr>
              <w:t xml:space="preserve">as made available </w:t>
            </w:r>
          </w:p>
        </w:tc>
      </w:tr>
      <w:tr w:rsidR="00A531C0" w14:paraId="67106756" w14:textId="77777777" w:rsidTr="008B2A0A">
        <w:trPr>
          <w:jc w:val="center"/>
        </w:trPr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5D6986BA" w14:textId="77777777" w:rsidR="00A531C0" w:rsidRPr="00296231" w:rsidRDefault="00A531C0" w:rsidP="00A531C0">
            <w:pPr>
              <w:spacing w:before="120" w:after="120"/>
            </w:pPr>
            <w:r w:rsidRPr="00296231">
              <w:t>Schedule of Upcoming Meetings</w:t>
            </w:r>
          </w:p>
        </w:tc>
        <w:tc>
          <w:tcPr>
            <w:tcW w:w="8127" w:type="dxa"/>
            <w:tcBorders>
              <w:top w:val="single" w:sz="4" w:space="0" w:color="auto"/>
              <w:bottom w:val="single" w:sz="4" w:space="0" w:color="auto"/>
            </w:tcBorders>
          </w:tcPr>
          <w:p w14:paraId="4067BED2" w14:textId="4EE53AB8" w:rsidR="00541126" w:rsidRPr="00296231" w:rsidRDefault="00A4759D" w:rsidP="00232CA0">
            <w:pPr>
              <w:keepNext/>
              <w:keepLines/>
              <w:numPr>
                <w:ilvl w:val="0"/>
                <w:numId w:val="3"/>
              </w:numPr>
              <w:spacing w:before="120" w:after="120"/>
            </w:pPr>
            <w:r>
              <w:t>To be determined</w:t>
            </w:r>
          </w:p>
        </w:tc>
      </w:tr>
    </w:tbl>
    <w:p w14:paraId="7B594167" w14:textId="5A76F09C" w:rsidR="00C23B6F" w:rsidRDefault="00C23B6F" w:rsidP="003A7AFC">
      <w:pPr>
        <w:spacing w:before="120" w:after="120"/>
        <w:ind w:left="1440" w:hanging="1440"/>
      </w:pPr>
    </w:p>
    <w:p w14:paraId="1FF96EA2" w14:textId="3F160E26" w:rsidR="00E51426" w:rsidRPr="00E51426" w:rsidRDefault="00E51426" w:rsidP="00E51426"/>
    <w:p w14:paraId="22DE4819" w14:textId="77777777" w:rsidR="00E51426" w:rsidRPr="00E51426" w:rsidRDefault="00E51426" w:rsidP="00E51426"/>
    <w:sectPr w:rsidR="00E51426" w:rsidRPr="00E51426" w:rsidSect="003A7AFC">
      <w:headerReference w:type="default" r:id="rId12"/>
      <w:footerReference w:type="default" r:id="rId13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A4415" w14:textId="77777777" w:rsidR="00376C9B" w:rsidRDefault="00376C9B">
      <w:r>
        <w:separator/>
      </w:r>
    </w:p>
  </w:endnote>
  <w:endnote w:type="continuationSeparator" w:id="0">
    <w:p w14:paraId="654ABA66" w14:textId="77777777" w:rsidR="00376C9B" w:rsidRDefault="0037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565E0" w14:textId="353BDDD4" w:rsidR="006402B6" w:rsidRDefault="006402B6" w:rsidP="006A78BE">
    <w:pPr>
      <w:pBdr>
        <w:top w:val="single" w:sz="4" w:space="1" w:color="auto"/>
      </w:pBdr>
      <w:spacing w:before="120"/>
      <w:ind w:left="1440" w:hanging="1440"/>
      <w:jc w:val="right"/>
    </w:pPr>
    <w:r>
      <w:t>An</w:t>
    </w:r>
    <w:r w:rsidR="00362E29">
      <w:t>nouncement and Agenda for the NAESB</w:t>
    </w:r>
    <w:r w:rsidR="00361E99">
      <w:t xml:space="preserve"> RMQ and</w:t>
    </w:r>
    <w:r w:rsidR="00362E29">
      <w:t xml:space="preserve"> WEQ E</w:t>
    </w:r>
    <w:r w:rsidR="00361E99">
      <w:t xml:space="preserve">xecutive </w:t>
    </w:r>
    <w:r w:rsidR="00362E29">
      <w:t>C</w:t>
    </w:r>
    <w:r w:rsidR="00361E99">
      <w:t>ommittees Distributed Ledger Technology Task Forces Confe</w:t>
    </w:r>
    <w:r>
      <w:t xml:space="preserve">rence Call – </w:t>
    </w:r>
    <w:r w:rsidR="00963113">
      <w:t xml:space="preserve">June </w:t>
    </w:r>
    <w:r w:rsidR="00E51426">
      <w:t>24</w:t>
    </w:r>
    <w:r w:rsidR="00963113">
      <w:t>, 2019</w:t>
    </w:r>
  </w:p>
  <w:p w14:paraId="5061F28E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878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F84F" w14:textId="77777777" w:rsidR="00376C9B" w:rsidRDefault="00376C9B">
      <w:r>
        <w:separator/>
      </w:r>
    </w:p>
  </w:footnote>
  <w:footnote w:type="continuationSeparator" w:id="0">
    <w:p w14:paraId="63B79F02" w14:textId="77777777" w:rsidR="00376C9B" w:rsidRDefault="0037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F5D93" w14:textId="77777777" w:rsidR="006402B6" w:rsidRDefault="006402B6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776" behindDoc="1" locked="0" layoutInCell="1" allowOverlap="1" wp14:anchorId="39B98FF0" wp14:editId="766FBA26">
          <wp:simplePos x="0" y="0"/>
          <wp:positionH relativeFrom="column">
            <wp:posOffset>33020</wp:posOffset>
          </wp:positionH>
          <wp:positionV relativeFrom="paragraph">
            <wp:posOffset>-340360</wp:posOffset>
          </wp:positionV>
          <wp:extent cx="981710" cy="1133475"/>
          <wp:effectExtent l="0" t="0" r="8890" b="9525"/>
          <wp:wrapThrough wrapText="bothSides">
            <wp:wrapPolygon edited="0">
              <wp:start x="0" y="0"/>
              <wp:lineTo x="0" y="21418"/>
              <wp:lineTo x="21376" y="21418"/>
              <wp:lineTo x="21376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E59A48" w14:textId="77777777" w:rsidR="006402B6" w:rsidRDefault="006402B6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14:paraId="295C99BE" w14:textId="77777777" w:rsidR="006402B6" w:rsidRDefault="006402B6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 w14:paraId="6082E2D7" w14:textId="77777777" w:rsidR="006402B6" w:rsidRDefault="006402B6">
    <w:pPr>
      <w:pStyle w:val="Header"/>
      <w:ind w:left="1800"/>
      <w:jc w:val="right"/>
    </w:pPr>
    <w:r>
      <w:t>Phone:  (713) 356-0060, Fax:  (713) 356-0067, E-mail: naesb@naesb.org</w:t>
    </w:r>
  </w:p>
  <w:p w14:paraId="184543A0" w14:textId="77777777" w:rsidR="006402B6" w:rsidRDefault="006402B6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34400BB8" w14:textId="77777777" w:rsidR="006402B6" w:rsidRDefault="006402B6">
    <w:pPr>
      <w:pStyle w:val="Header"/>
      <w:pBdr>
        <w:bottom w:val="single" w:sz="18" w:space="1" w:color="auto"/>
      </w:pBdr>
      <w:ind w:left="1800" w:hanging="1800"/>
      <w:rPr>
        <w:rFonts w:ascii="Bookman Old Style" w:hAnsi="Bookman Old Style"/>
        <w:sz w:val="16"/>
      </w:rPr>
    </w:pPr>
  </w:p>
  <w:p w14:paraId="180E6D55" w14:textId="77777777" w:rsidR="006402B6" w:rsidRDefault="006402B6">
    <w:pPr>
      <w:pStyle w:val="Header"/>
      <w:spacing w:after="120"/>
      <w:ind w:left="1800" w:hanging="180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F"/>
    <w:rsid w:val="00007272"/>
    <w:rsid w:val="000162C0"/>
    <w:rsid w:val="000250C9"/>
    <w:rsid w:val="0003682A"/>
    <w:rsid w:val="00053888"/>
    <w:rsid w:val="00056AAD"/>
    <w:rsid w:val="00060F18"/>
    <w:rsid w:val="000746C7"/>
    <w:rsid w:val="000976A4"/>
    <w:rsid w:val="000A1E5C"/>
    <w:rsid w:val="000D4839"/>
    <w:rsid w:val="000E3449"/>
    <w:rsid w:val="000F1949"/>
    <w:rsid w:val="000F5615"/>
    <w:rsid w:val="00111AEE"/>
    <w:rsid w:val="00114DFD"/>
    <w:rsid w:val="0012754D"/>
    <w:rsid w:val="001278FC"/>
    <w:rsid w:val="00167C61"/>
    <w:rsid w:val="001805AF"/>
    <w:rsid w:val="001816BF"/>
    <w:rsid w:val="00193A60"/>
    <w:rsid w:val="001C5DE7"/>
    <w:rsid w:val="00232CA0"/>
    <w:rsid w:val="002352BC"/>
    <w:rsid w:val="00236039"/>
    <w:rsid w:val="00236941"/>
    <w:rsid w:val="00252387"/>
    <w:rsid w:val="00252472"/>
    <w:rsid w:val="00252B84"/>
    <w:rsid w:val="00254C0E"/>
    <w:rsid w:val="002801F6"/>
    <w:rsid w:val="002844AE"/>
    <w:rsid w:val="00291925"/>
    <w:rsid w:val="00296641"/>
    <w:rsid w:val="002E361F"/>
    <w:rsid w:val="003145A6"/>
    <w:rsid w:val="003200D7"/>
    <w:rsid w:val="00331D28"/>
    <w:rsid w:val="00355B19"/>
    <w:rsid w:val="00361E99"/>
    <w:rsid w:val="00362E29"/>
    <w:rsid w:val="003664DB"/>
    <w:rsid w:val="00376C9B"/>
    <w:rsid w:val="003969DC"/>
    <w:rsid w:val="003A7AFC"/>
    <w:rsid w:val="003D64CE"/>
    <w:rsid w:val="004100CE"/>
    <w:rsid w:val="004230D1"/>
    <w:rsid w:val="004317D5"/>
    <w:rsid w:val="00437FA9"/>
    <w:rsid w:val="00440F1C"/>
    <w:rsid w:val="00472AD0"/>
    <w:rsid w:val="00484367"/>
    <w:rsid w:val="004C05F2"/>
    <w:rsid w:val="004D3121"/>
    <w:rsid w:val="004E4BAB"/>
    <w:rsid w:val="00517357"/>
    <w:rsid w:val="00541126"/>
    <w:rsid w:val="00543967"/>
    <w:rsid w:val="005914D6"/>
    <w:rsid w:val="005B75FF"/>
    <w:rsid w:val="005C16DD"/>
    <w:rsid w:val="005E73EB"/>
    <w:rsid w:val="005F0C17"/>
    <w:rsid w:val="00606F31"/>
    <w:rsid w:val="00617C24"/>
    <w:rsid w:val="00624A69"/>
    <w:rsid w:val="00625EF9"/>
    <w:rsid w:val="006326E0"/>
    <w:rsid w:val="006402B6"/>
    <w:rsid w:val="00642447"/>
    <w:rsid w:val="00666B72"/>
    <w:rsid w:val="00677A06"/>
    <w:rsid w:val="00680EDB"/>
    <w:rsid w:val="00685E14"/>
    <w:rsid w:val="006A78BE"/>
    <w:rsid w:val="006C5603"/>
    <w:rsid w:val="006C61D8"/>
    <w:rsid w:val="00707897"/>
    <w:rsid w:val="00717DA8"/>
    <w:rsid w:val="0074193D"/>
    <w:rsid w:val="00770252"/>
    <w:rsid w:val="00797BA7"/>
    <w:rsid w:val="007B0E9D"/>
    <w:rsid w:val="007E036C"/>
    <w:rsid w:val="007F0D1E"/>
    <w:rsid w:val="007F4075"/>
    <w:rsid w:val="008072E4"/>
    <w:rsid w:val="00830B40"/>
    <w:rsid w:val="008446BB"/>
    <w:rsid w:val="008623C8"/>
    <w:rsid w:val="00866FD4"/>
    <w:rsid w:val="00877E49"/>
    <w:rsid w:val="008869A8"/>
    <w:rsid w:val="008B2A0A"/>
    <w:rsid w:val="008E7EDA"/>
    <w:rsid w:val="008F161F"/>
    <w:rsid w:val="00901030"/>
    <w:rsid w:val="00942A1D"/>
    <w:rsid w:val="00953D4A"/>
    <w:rsid w:val="00962445"/>
    <w:rsid w:val="00963113"/>
    <w:rsid w:val="00976A01"/>
    <w:rsid w:val="009C4F3A"/>
    <w:rsid w:val="009D2495"/>
    <w:rsid w:val="009D51A5"/>
    <w:rsid w:val="009D7EC7"/>
    <w:rsid w:val="009E111A"/>
    <w:rsid w:val="00A0380C"/>
    <w:rsid w:val="00A1521B"/>
    <w:rsid w:val="00A15340"/>
    <w:rsid w:val="00A261A2"/>
    <w:rsid w:val="00A46DDD"/>
    <w:rsid w:val="00A4759D"/>
    <w:rsid w:val="00A531C0"/>
    <w:rsid w:val="00A54CAE"/>
    <w:rsid w:val="00A56367"/>
    <w:rsid w:val="00A71637"/>
    <w:rsid w:val="00A86002"/>
    <w:rsid w:val="00A87816"/>
    <w:rsid w:val="00AB6E7C"/>
    <w:rsid w:val="00AD6B10"/>
    <w:rsid w:val="00AE6567"/>
    <w:rsid w:val="00B044CF"/>
    <w:rsid w:val="00B04A09"/>
    <w:rsid w:val="00B26F5E"/>
    <w:rsid w:val="00B3585E"/>
    <w:rsid w:val="00B76415"/>
    <w:rsid w:val="00B8067C"/>
    <w:rsid w:val="00BA0E0D"/>
    <w:rsid w:val="00BA7457"/>
    <w:rsid w:val="00BE6BE2"/>
    <w:rsid w:val="00C01683"/>
    <w:rsid w:val="00C23B6F"/>
    <w:rsid w:val="00C3032B"/>
    <w:rsid w:val="00C31BA9"/>
    <w:rsid w:val="00C45786"/>
    <w:rsid w:val="00C51A56"/>
    <w:rsid w:val="00C51D1A"/>
    <w:rsid w:val="00C64604"/>
    <w:rsid w:val="00C72174"/>
    <w:rsid w:val="00CA31B2"/>
    <w:rsid w:val="00CB02C9"/>
    <w:rsid w:val="00CB7940"/>
    <w:rsid w:val="00CC0CED"/>
    <w:rsid w:val="00CC681C"/>
    <w:rsid w:val="00CD58EE"/>
    <w:rsid w:val="00D55366"/>
    <w:rsid w:val="00D666B9"/>
    <w:rsid w:val="00D703F5"/>
    <w:rsid w:val="00D744DF"/>
    <w:rsid w:val="00D778AD"/>
    <w:rsid w:val="00D86350"/>
    <w:rsid w:val="00D87711"/>
    <w:rsid w:val="00DA2360"/>
    <w:rsid w:val="00DA5BC4"/>
    <w:rsid w:val="00DB0EAF"/>
    <w:rsid w:val="00DB202E"/>
    <w:rsid w:val="00DB433E"/>
    <w:rsid w:val="00DD7BD8"/>
    <w:rsid w:val="00DE7B50"/>
    <w:rsid w:val="00E01809"/>
    <w:rsid w:val="00E15CA7"/>
    <w:rsid w:val="00E238FE"/>
    <w:rsid w:val="00E37082"/>
    <w:rsid w:val="00E37F39"/>
    <w:rsid w:val="00E427CC"/>
    <w:rsid w:val="00E51426"/>
    <w:rsid w:val="00E66D7F"/>
    <w:rsid w:val="00E7240E"/>
    <w:rsid w:val="00E75E39"/>
    <w:rsid w:val="00EB275D"/>
    <w:rsid w:val="00EC1B2F"/>
    <w:rsid w:val="00ED6845"/>
    <w:rsid w:val="00F27CE1"/>
    <w:rsid w:val="00F36C10"/>
    <w:rsid w:val="00F52876"/>
    <w:rsid w:val="00F8215E"/>
    <w:rsid w:val="00F87A4D"/>
    <w:rsid w:val="00F91D27"/>
    <w:rsid w:val="00F978F0"/>
    <w:rsid w:val="00FA31D8"/>
    <w:rsid w:val="00FB5272"/>
    <w:rsid w:val="00FD6446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4C272"/>
  <w15:docId w15:val="{36FE6213-7D0B-499D-A62C-6FCEDFC9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0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REQ/req_ec.a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misc/antitrust_guidance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esb@naes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weq/weq_ec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6DDB-D969-48B1-BAAC-25C6B731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4604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NAESB</cp:lastModifiedBy>
  <cp:revision>2</cp:revision>
  <cp:lastPrinted>2008-03-10T15:09:00Z</cp:lastPrinted>
  <dcterms:created xsi:type="dcterms:W3CDTF">2019-06-19T18:59:00Z</dcterms:created>
  <dcterms:modified xsi:type="dcterms:W3CDTF">2019-06-19T18:59:00Z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