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3FFE3AC1" w:rsidR="00AD2480" w:rsidRPr="005D1B94" w:rsidRDefault="00922C1B"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April 1</w:t>
      </w:r>
      <w:r w:rsidR="004F3528">
        <w:rPr>
          <w:rFonts w:ascii="Times New Roman" w:hAnsi="Times New Roman" w:cs="Times New Roman"/>
          <w:b w:val="0"/>
        </w:rPr>
        <w:t>6</w:t>
      </w:r>
      <w:r>
        <w:rPr>
          <w:rFonts w:ascii="Times New Roman" w:hAnsi="Times New Roman" w:cs="Times New Roman"/>
          <w:b w:val="0"/>
        </w:rPr>
        <w:t>,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5275F350"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0710F0">
        <w:rPr>
          <w:bCs/>
        </w:rPr>
        <w:t>Amrit Nagi, Staff Attorney</w:t>
      </w:r>
    </w:p>
    <w:p w14:paraId="7EA33A1B" w14:textId="4FE13351" w:rsidR="00486AEF" w:rsidRPr="00486AEF" w:rsidRDefault="00AD2480" w:rsidP="00486AEF">
      <w:pPr>
        <w:pBdr>
          <w:bottom w:val="single" w:sz="12" w:space="1" w:color="auto"/>
        </w:pBdr>
        <w:tabs>
          <w:tab w:val="left" w:pos="900"/>
        </w:tabs>
        <w:ind w:left="900" w:hanging="900"/>
        <w:jc w:val="both"/>
        <w:rPr>
          <w:bCs/>
        </w:rPr>
      </w:pPr>
      <w:r w:rsidRPr="005D1B94">
        <w:rPr>
          <w:b/>
          <w:bCs/>
        </w:rPr>
        <w:t>RE:</w:t>
      </w:r>
      <w:r w:rsidRPr="005D1B94">
        <w:rPr>
          <w:b/>
          <w:bCs/>
        </w:rPr>
        <w:tab/>
      </w:r>
      <w:r w:rsidR="007834F4">
        <w:rPr>
          <w:b/>
          <w:bCs/>
        </w:rPr>
        <w:t xml:space="preserve">WGQ </w:t>
      </w:r>
      <w:r w:rsidR="006352EB">
        <w:rPr>
          <w:b/>
          <w:bCs/>
        </w:rPr>
        <w:t xml:space="preserve">Contracts Subcommittee Activities </w:t>
      </w:r>
    </w:p>
    <w:p w14:paraId="2F1B5BA6" w14:textId="368F48AA" w:rsidR="00180ACA" w:rsidRDefault="00922C1B" w:rsidP="00D77840">
      <w:pPr>
        <w:spacing w:before="120" w:after="120"/>
        <w:jc w:val="both"/>
      </w:pPr>
      <w:r w:rsidRPr="00922C1B">
        <w:t>The WGQ Contracts Subcommittee has recently advanced two major initiatives through formal recommendations.</w:t>
      </w:r>
      <w:r>
        <w:t xml:space="preserve"> </w:t>
      </w:r>
      <w:r w:rsidR="0070705D">
        <w:t>On March 19, 2025, the WGQ Contracts Subcommittee voted out a recommendation on WGQ Annual Plan Item 5. This item focused on updating the renewable natural gas (RNG) addendum, specifically addressing new regulations and development</w:t>
      </w:r>
      <w:r w:rsidR="007B363D">
        <w:t xml:space="preserve">s in the RNG market relating to transactions under the NAESB Base contract. </w:t>
      </w:r>
      <w:r w:rsidR="00670A81" w:rsidRPr="00670A81">
        <w:t>Th</w:t>
      </w:r>
      <w:r w:rsidR="00670A81">
        <w:t>is</w:t>
      </w:r>
      <w:r w:rsidR="00670A81" w:rsidRPr="00670A81">
        <w:t xml:space="preserve"> initiative, launched on January 17, 2025, centered on the implications of the Biogas Regulatory Reform Rule (BRRR), including updates to tracking mechanisms, RIN generation, and the EPA’s EMTS system. Over the course of </w:t>
      </w:r>
      <w:r w:rsidR="00670A81">
        <w:t xml:space="preserve">four </w:t>
      </w:r>
      <w:r w:rsidR="00670A81" w:rsidRPr="00670A81">
        <w:t xml:space="preserve">meetings, the subcommittee evaluated revisions to the addendum to improve clarity, align with regulatory changes, and support evolving market structures, while maintaining flexibility for voluntary programs. These efforts culminated in a final recommendation </w:t>
      </w:r>
      <w:r w:rsidR="00670A81">
        <w:t xml:space="preserve">that is currently out for a formal comment period which began on March 20, 2025 and will end on April 21, 2025. As of date, one comment has been received. </w:t>
      </w:r>
    </w:p>
    <w:p w14:paraId="6F0E67A5" w14:textId="1F1E4695" w:rsidR="00BE7150" w:rsidRDefault="00922C1B" w:rsidP="00FA04BE">
      <w:pPr>
        <w:spacing w:before="120" w:after="120"/>
        <w:jc w:val="both"/>
      </w:pPr>
      <w:r w:rsidRPr="00922C1B">
        <w:t>In parallel, the WGQ Contracts Subcommittee met on February 27, 2025, and voted out a recommendation on WGQ Annual Plan Item 4 to develop a standardized contract for the sale and purchase of hydrogen. A formal comment period opened on February 28, 2025, and closed on March 31, 2025, with four sets of comments received. This recommendation was the product of ten meetings, during which the subcommittee</w:t>
      </w:r>
      <w:r w:rsidR="000E081C">
        <w:t xml:space="preserve"> leveraged existing NAESB agreements, </w:t>
      </w:r>
      <w:r w:rsidR="000E081C" w:rsidRPr="00922C1B">
        <w:t>including the Base Contract for Natural Gas, the Certified Gas Addendum, and the Master Agreement for Liquid Hydrocarbons</w:t>
      </w:r>
      <w:r w:rsidR="000E081C">
        <w:t xml:space="preserve">, </w:t>
      </w:r>
      <w:r w:rsidR="000E081C" w:rsidRPr="00922C1B">
        <w:t>and includes provisions for certificate tracking, carbon intensity values, and multiple transportation methods.</w:t>
      </w:r>
      <w:r w:rsidR="000E081C">
        <w:t xml:space="preserve"> </w:t>
      </w:r>
      <w:r w:rsidRPr="00922C1B">
        <w:t xml:space="preserve"> The initiative originated from an April 4, 2024 directive from the NAESB Board of Directors, which called for standards development in the hydrogen market. The initial meeting </w:t>
      </w:r>
      <w:r w:rsidR="000E081C">
        <w:t xml:space="preserve">on July 11, 2024, </w:t>
      </w:r>
      <w:r w:rsidRPr="00922C1B">
        <w:t xml:space="preserve">attracted over 50 participants from the natural gas, electric, and hydrogen sectors and included an overview of the NAESB standards development process, a market review, and a discussion of a basic contract framework. </w:t>
      </w:r>
    </w:p>
    <w:sectPr w:rsidR="00BE7150"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E90D" w14:textId="77777777" w:rsidR="00BD79F9" w:rsidRDefault="00BD79F9">
      <w:r>
        <w:separator/>
      </w:r>
    </w:p>
  </w:endnote>
  <w:endnote w:type="continuationSeparator" w:id="0">
    <w:p w14:paraId="1FA28AC8" w14:textId="77777777" w:rsidR="00BD79F9" w:rsidRDefault="00BD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2CF48F4F" w:rsidR="004D4805" w:rsidRPr="00C55C59" w:rsidRDefault="00C55C59" w:rsidP="00C55C59">
    <w:pPr>
      <w:pStyle w:val="Footer"/>
      <w:ind w:left="3600"/>
      <w:jc w:val="right"/>
    </w:pPr>
    <w:r w:rsidRPr="00C55C59">
      <w:t xml:space="preserve">WGQ </w:t>
    </w:r>
    <w:r w:rsidR="006352EB">
      <w:t>Contracts Subcommittee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8392" w14:textId="77777777" w:rsidR="00BD79F9" w:rsidRDefault="00BD79F9">
      <w:r>
        <w:separator/>
      </w:r>
    </w:p>
  </w:footnote>
  <w:footnote w:type="continuationSeparator" w:id="0">
    <w:p w14:paraId="3911EBF4" w14:textId="77777777" w:rsidR="00BD79F9" w:rsidRDefault="00BD7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57D4A"/>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91B"/>
    <w:rsid w:val="00066CC5"/>
    <w:rsid w:val="000671DB"/>
    <w:rsid w:val="000674FA"/>
    <w:rsid w:val="00067867"/>
    <w:rsid w:val="00070397"/>
    <w:rsid w:val="000709DE"/>
    <w:rsid w:val="00070F6E"/>
    <w:rsid w:val="000710F0"/>
    <w:rsid w:val="00071FB6"/>
    <w:rsid w:val="00073F14"/>
    <w:rsid w:val="000740D5"/>
    <w:rsid w:val="00074121"/>
    <w:rsid w:val="00074295"/>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596D"/>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9CF"/>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DA1"/>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81C"/>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04"/>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5EC7"/>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AC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067"/>
    <w:rsid w:val="001A21A0"/>
    <w:rsid w:val="001A23D5"/>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B42"/>
    <w:rsid w:val="001B2F75"/>
    <w:rsid w:val="001B301E"/>
    <w:rsid w:val="001B314E"/>
    <w:rsid w:val="001B378E"/>
    <w:rsid w:val="001B382E"/>
    <w:rsid w:val="001B4D30"/>
    <w:rsid w:val="001B5131"/>
    <w:rsid w:val="001B5184"/>
    <w:rsid w:val="001B51B4"/>
    <w:rsid w:val="001B5627"/>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549A"/>
    <w:rsid w:val="001C596A"/>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8E1"/>
    <w:rsid w:val="001D5CDE"/>
    <w:rsid w:val="001D6350"/>
    <w:rsid w:val="001D72BE"/>
    <w:rsid w:val="001D74A6"/>
    <w:rsid w:val="001D79FA"/>
    <w:rsid w:val="001E03D0"/>
    <w:rsid w:val="001E053B"/>
    <w:rsid w:val="001E2744"/>
    <w:rsid w:val="001E28E6"/>
    <w:rsid w:val="001E2B70"/>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27B"/>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09"/>
    <w:rsid w:val="00202623"/>
    <w:rsid w:val="00202A8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2F0"/>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4B5"/>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C2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333"/>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3D7"/>
    <w:rsid w:val="003006CF"/>
    <w:rsid w:val="0030089B"/>
    <w:rsid w:val="00300BD7"/>
    <w:rsid w:val="00301902"/>
    <w:rsid w:val="003019B2"/>
    <w:rsid w:val="00301C43"/>
    <w:rsid w:val="00301E86"/>
    <w:rsid w:val="00301F56"/>
    <w:rsid w:val="003024EC"/>
    <w:rsid w:val="00302E86"/>
    <w:rsid w:val="00303295"/>
    <w:rsid w:val="003034AA"/>
    <w:rsid w:val="003036A6"/>
    <w:rsid w:val="003038E1"/>
    <w:rsid w:val="00303A4C"/>
    <w:rsid w:val="00303CBC"/>
    <w:rsid w:val="0030408D"/>
    <w:rsid w:val="003045E2"/>
    <w:rsid w:val="00304F2E"/>
    <w:rsid w:val="00304F8A"/>
    <w:rsid w:val="00305E4B"/>
    <w:rsid w:val="003060A6"/>
    <w:rsid w:val="0030616F"/>
    <w:rsid w:val="00306258"/>
    <w:rsid w:val="00307799"/>
    <w:rsid w:val="003077EE"/>
    <w:rsid w:val="00307823"/>
    <w:rsid w:val="00307D62"/>
    <w:rsid w:val="0031005D"/>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16835"/>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10E"/>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5D5"/>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73E"/>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14"/>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45E"/>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37183"/>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2F59"/>
    <w:rsid w:val="004634E0"/>
    <w:rsid w:val="004634E7"/>
    <w:rsid w:val="0046379D"/>
    <w:rsid w:val="00463850"/>
    <w:rsid w:val="00463DC9"/>
    <w:rsid w:val="004640BC"/>
    <w:rsid w:val="0046445D"/>
    <w:rsid w:val="00464827"/>
    <w:rsid w:val="00464F06"/>
    <w:rsid w:val="00465898"/>
    <w:rsid w:val="00465E0A"/>
    <w:rsid w:val="004666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AEF"/>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83D"/>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10B9"/>
    <w:rsid w:val="004C1185"/>
    <w:rsid w:val="004C1829"/>
    <w:rsid w:val="004C1DA0"/>
    <w:rsid w:val="004C289C"/>
    <w:rsid w:val="004C2BCC"/>
    <w:rsid w:val="004C349B"/>
    <w:rsid w:val="004C3C4A"/>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528"/>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85A"/>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4FBF"/>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4E29"/>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448F"/>
    <w:rsid w:val="005B4DB2"/>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302"/>
    <w:rsid w:val="005C105D"/>
    <w:rsid w:val="005C1634"/>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234"/>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0C69"/>
    <w:rsid w:val="00601178"/>
    <w:rsid w:val="00601263"/>
    <w:rsid w:val="00601EB8"/>
    <w:rsid w:val="00602332"/>
    <w:rsid w:val="006025E7"/>
    <w:rsid w:val="00602B88"/>
    <w:rsid w:val="00602C05"/>
    <w:rsid w:val="006031DA"/>
    <w:rsid w:val="006032FB"/>
    <w:rsid w:val="00603B3F"/>
    <w:rsid w:val="006044FC"/>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13"/>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2EB"/>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1DD4"/>
    <w:rsid w:val="00652098"/>
    <w:rsid w:val="006522BB"/>
    <w:rsid w:val="00652C9C"/>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FFE"/>
    <w:rsid w:val="00667573"/>
    <w:rsid w:val="0066796D"/>
    <w:rsid w:val="00667FD8"/>
    <w:rsid w:val="006708F5"/>
    <w:rsid w:val="00670A81"/>
    <w:rsid w:val="00670B1F"/>
    <w:rsid w:val="00670E61"/>
    <w:rsid w:val="006712EB"/>
    <w:rsid w:val="006715EA"/>
    <w:rsid w:val="00671735"/>
    <w:rsid w:val="006718D0"/>
    <w:rsid w:val="00671BF2"/>
    <w:rsid w:val="00672D4A"/>
    <w:rsid w:val="006731D4"/>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D1F"/>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31E"/>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CA4"/>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AF4"/>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67B"/>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05D"/>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2C7D"/>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6EB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0B4D"/>
    <w:rsid w:val="00771DA4"/>
    <w:rsid w:val="0077291E"/>
    <w:rsid w:val="0077297A"/>
    <w:rsid w:val="00772B55"/>
    <w:rsid w:val="00772C48"/>
    <w:rsid w:val="0077300B"/>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C61"/>
    <w:rsid w:val="00783226"/>
    <w:rsid w:val="007834F4"/>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5ECA"/>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EF8"/>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63D"/>
    <w:rsid w:val="007B3748"/>
    <w:rsid w:val="007B3922"/>
    <w:rsid w:val="007B3E35"/>
    <w:rsid w:val="007B4BE5"/>
    <w:rsid w:val="007B4F4E"/>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64"/>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4C9"/>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2B38"/>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2F3F"/>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8F4"/>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1B5"/>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9CA"/>
    <w:rsid w:val="00907E62"/>
    <w:rsid w:val="0091010F"/>
    <w:rsid w:val="00910305"/>
    <w:rsid w:val="00910A03"/>
    <w:rsid w:val="00910C74"/>
    <w:rsid w:val="00911072"/>
    <w:rsid w:val="0091122A"/>
    <w:rsid w:val="00911249"/>
    <w:rsid w:val="00911CB6"/>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C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0E1D"/>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6E9E"/>
    <w:rsid w:val="00967327"/>
    <w:rsid w:val="0096733F"/>
    <w:rsid w:val="009676CF"/>
    <w:rsid w:val="0096772B"/>
    <w:rsid w:val="0096791E"/>
    <w:rsid w:val="009711E2"/>
    <w:rsid w:val="0097124B"/>
    <w:rsid w:val="0097141C"/>
    <w:rsid w:val="0097146B"/>
    <w:rsid w:val="009719CE"/>
    <w:rsid w:val="00971FC8"/>
    <w:rsid w:val="009722AF"/>
    <w:rsid w:val="009729B9"/>
    <w:rsid w:val="00972EFE"/>
    <w:rsid w:val="00972F08"/>
    <w:rsid w:val="00972F15"/>
    <w:rsid w:val="00973758"/>
    <w:rsid w:val="00973843"/>
    <w:rsid w:val="0097385F"/>
    <w:rsid w:val="00974B73"/>
    <w:rsid w:val="00974E28"/>
    <w:rsid w:val="00975819"/>
    <w:rsid w:val="00975913"/>
    <w:rsid w:val="00975944"/>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9CB"/>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2F6E"/>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4F1"/>
    <w:rsid w:val="009D165D"/>
    <w:rsid w:val="009D1D3E"/>
    <w:rsid w:val="009D2282"/>
    <w:rsid w:val="009D22C8"/>
    <w:rsid w:val="009D26CB"/>
    <w:rsid w:val="009D3029"/>
    <w:rsid w:val="009D30A4"/>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2519"/>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468"/>
    <w:rsid w:val="00A625A2"/>
    <w:rsid w:val="00A629BF"/>
    <w:rsid w:val="00A62CBF"/>
    <w:rsid w:val="00A63E70"/>
    <w:rsid w:val="00A64617"/>
    <w:rsid w:val="00A65578"/>
    <w:rsid w:val="00A65BA5"/>
    <w:rsid w:val="00A661A8"/>
    <w:rsid w:val="00A6668D"/>
    <w:rsid w:val="00A667A2"/>
    <w:rsid w:val="00A66AFD"/>
    <w:rsid w:val="00A66CA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BEA"/>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181"/>
    <w:rsid w:val="00B14476"/>
    <w:rsid w:val="00B14700"/>
    <w:rsid w:val="00B1480C"/>
    <w:rsid w:val="00B14D53"/>
    <w:rsid w:val="00B14E2B"/>
    <w:rsid w:val="00B1558E"/>
    <w:rsid w:val="00B15941"/>
    <w:rsid w:val="00B15F37"/>
    <w:rsid w:val="00B160AF"/>
    <w:rsid w:val="00B17079"/>
    <w:rsid w:val="00B1746B"/>
    <w:rsid w:val="00B176FC"/>
    <w:rsid w:val="00B17AA6"/>
    <w:rsid w:val="00B17EC6"/>
    <w:rsid w:val="00B2086B"/>
    <w:rsid w:val="00B20B18"/>
    <w:rsid w:val="00B20BBD"/>
    <w:rsid w:val="00B20F59"/>
    <w:rsid w:val="00B2106D"/>
    <w:rsid w:val="00B2158A"/>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3B2"/>
    <w:rsid w:val="00B726B0"/>
    <w:rsid w:val="00B72DA3"/>
    <w:rsid w:val="00B72E8E"/>
    <w:rsid w:val="00B73B0B"/>
    <w:rsid w:val="00B73C0E"/>
    <w:rsid w:val="00B7465A"/>
    <w:rsid w:val="00B74671"/>
    <w:rsid w:val="00B7496A"/>
    <w:rsid w:val="00B75AD8"/>
    <w:rsid w:val="00B75CCD"/>
    <w:rsid w:val="00B76404"/>
    <w:rsid w:val="00B76646"/>
    <w:rsid w:val="00B76E1C"/>
    <w:rsid w:val="00B76E29"/>
    <w:rsid w:val="00B76ECA"/>
    <w:rsid w:val="00B77139"/>
    <w:rsid w:val="00B77809"/>
    <w:rsid w:val="00B77CB2"/>
    <w:rsid w:val="00B77DAE"/>
    <w:rsid w:val="00B77F53"/>
    <w:rsid w:val="00B80835"/>
    <w:rsid w:val="00B81176"/>
    <w:rsid w:val="00B818C4"/>
    <w:rsid w:val="00B81999"/>
    <w:rsid w:val="00B81FC9"/>
    <w:rsid w:val="00B82003"/>
    <w:rsid w:val="00B8216E"/>
    <w:rsid w:val="00B82577"/>
    <w:rsid w:val="00B82CA4"/>
    <w:rsid w:val="00B82D36"/>
    <w:rsid w:val="00B82D8B"/>
    <w:rsid w:val="00B82E4E"/>
    <w:rsid w:val="00B82F76"/>
    <w:rsid w:val="00B82F7E"/>
    <w:rsid w:val="00B82FC9"/>
    <w:rsid w:val="00B837FC"/>
    <w:rsid w:val="00B83BFA"/>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0D7"/>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34"/>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1F8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9F9"/>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150"/>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13E"/>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1390"/>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C59"/>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3A11"/>
    <w:rsid w:val="00C6403B"/>
    <w:rsid w:val="00C6421A"/>
    <w:rsid w:val="00C645C4"/>
    <w:rsid w:val="00C649C9"/>
    <w:rsid w:val="00C64D3A"/>
    <w:rsid w:val="00C64D9A"/>
    <w:rsid w:val="00C64E5D"/>
    <w:rsid w:val="00C65042"/>
    <w:rsid w:val="00C65653"/>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EEC"/>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670"/>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4697"/>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077"/>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6DD"/>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B4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40"/>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CC3"/>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B3"/>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A05"/>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100"/>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0C"/>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1D5C"/>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55C"/>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797"/>
    <w:rsid w:val="00EE7A48"/>
    <w:rsid w:val="00EF01E1"/>
    <w:rsid w:val="00EF0603"/>
    <w:rsid w:val="00EF14C5"/>
    <w:rsid w:val="00EF1799"/>
    <w:rsid w:val="00EF2362"/>
    <w:rsid w:val="00EF25FB"/>
    <w:rsid w:val="00EF32DD"/>
    <w:rsid w:val="00EF3404"/>
    <w:rsid w:val="00EF3878"/>
    <w:rsid w:val="00EF41B8"/>
    <w:rsid w:val="00EF43E3"/>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52C6"/>
    <w:rsid w:val="00F561DE"/>
    <w:rsid w:val="00F56ECF"/>
    <w:rsid w:val="00F57033"/>
    <w:rsid w:val="00F57094"/>
    <w:rsid w:val="00F575B8"/>
    <w:rsid w:val="00F576B4"/>
    <w:rsid w:val="00F57FB8"/>
    <w:rsid w:val="00F60222"/>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3E1"/>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26"/>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4BE"/>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798"/>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AC2"/>
    <w:rsid w:val="00FE5DFA"/>
    <w:rsid w:val="00FE7080"/>
    <w:rsid w:val="00FE7129"/>
    <w:rsid w:val="00FE7496"/>
    <w:rsid w:val="00FE78CB"/>
    <w:rsid w:val="00FE7B42"/>
    <w:rsid w:val="00FF00D3"/>
    <w:rsid w:val="00FF03BA"/>
    <w:rsid w:val="00FF0D0B"/>
    <w:rsid w:val="00FF0E47"/>
    <w:rsid w:val="00FF2B38"/>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EE7797"/>
  </w:style>
  <w:style w:type="character" w:styleId="CommentReference">
    <w:name w:val="annotation reference"/>
    <w:basedOn w:val="DefaultParagraphFont"/>
    <w:uiPriority w:val="99"/>
    <w:semiHidden/>
    <w:unhideWhenUsed/>
    <w:rsid w:val="00EE7797"/>
    <w:rPr>
      <w:sz w:val="16"/>
      <w:szCs w:val="16"/>
    </w:rPr>
  </w:style>
  <w:style w:type="paragraph" w:styleId="CommentText">
    <w:name w:val="annotation text"/>
    <w:basedOn w:val="Normal"/>
    <w:link w:val="CommentTextChar"/>
    <w:uiPriority w:val="99"/>
    <w:semiHidden/>
    <w:unhideWhenUsed/>
    <w:rsid w:val="00EE7797"/>
  </w:style>
  <w:style w:type="character" w:customStyle="1" w:styleId="CommentTextChar">
    <w:name w:val="Comment Text Char"/>
    <w:basedOn w:val="DefaultParagraphFont"/>
    <w:link w:val="CommentText"/>
    <w:uiPriority w:val="99"/>
    <w:semiHidden/>
    <w:rsid w:val="00EE7797"/>
  </w:style>
  <w:style w:type="paragraph" w:styleId="CommentSubject">
    <w:name w:val="annotation subject"/>
    <w:basedOn w:val="CommentText"/>
    <w:next w:val="CommentText"/>
    <w:link w:val="CommentSubjectChar"/>
    <w:uiPriority w:val="99"/>
    <w:semiHidden/>
    <w:unhideWhenUsed/>
    <w:rsid w:val="00EE7797"/>
    <w:rPr>
      <w:b/>
      <w:bCs/>
    </w:rPr>
  </w:style>
  <w:style w:type="character" w:customStyle="1" w:styleId="CommentSubjectChar">
    <w:name w:val="Comment Subject Char"/>
    <w:basedOn w:val="CommentTextChar"/>
    <w:link w:val="CommentSubject"/>
    <w:uiPriority w:val="99"/>
    <w:semiHidden/>
    <w:rsid w:val="00EE7797"/>
    <w:rPr>
      <w:b/>
      <w:bCs/>
    </w:rPr>
  </w:style>
  <w:style w:type="paragraph" w:styleId="NormalWeb">
    <w:name w:val="Normal (Web)"/>
    <w:basedOn w:val="Normal"/>
    <w:uiPriority w:val="99"/>
    <w:semiHidden/>
    <w:unhideWhenUsed/>
    <w:rsid w:val="00564FBF"/>
    <w:rPr>
      <w:sz w:val="24"/>
      <w:szCs w:val="24"/>
    </w:rPr>
  </w:style>
  <w:style w:type="paragraph" w:styleId="BodyText">
    <w:name w:val="Body Text"/>
    <w:basedOn w:val="Normal"/>
    <w:link w:val="BodyTextChar"/>
    <w:uiPriority w:val="99"/>
    <w:semiHidden/>
    <w:unhideWhenUsed/>
    <w:rsid w:val="00670A81"/>
    <w:pPr>
      <w:spacing w:after="120"/>
    </w:pPr>
  </w:style>
  <w:style w:type="character" w:customStyle="1" w:styleId="BodyTextChar">
    <w:name w:val="Body Text Char"/>
    <w:basedOn w:val="DefaultParagraphFont"/>
    <w:link w:val="BodyText"/>
    <w:uiPriority w:val="99"/>
    <w:semiHidden/>
    <w:rsid w:val="00670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5836">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44402301">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437528267">
      <w:bodyDiv w:val="1"/>
      <w:marLeft w:val="0"/>
      <w:marRight w:val="0"/>
      <w:marTop w:val="0"/>
      <w:marBottom w:val="0"/>
      <w:divBdr>
        <w:top w:val="none" w:sz="0" w:space="0" w:color="auto"/>
        <w:left w:val="none" w:sz="0" w:space="0" w:color="auto"/>
        <w:bottom w:val="none" w:sz="0" w:space="0" w:color="auto"/>
        <w:right w:val="none" w:sz="0" w:space="0" w:color="auto"/>
      </w:divBdr>
    </w:div>
    <w:div w:id="494222127">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37226589">
      <w:bodyDiv w:val="1"/>
      <w:marLeft w:val="0"/>
      <w:marRight w:val="0"/>
      <w:marTop w:val="0"/>
      <w:marBottom w:val="0"/>
      <w:divBdr>
        <w:top w:val="none" w:sz="0" w:space="0" w:color="auto"/>
        <w:left w:val="none" w:sz="0" w:space="0" w:color="auto"/>
        <w:bottom w:val="none" w:sz="0" w:space="0" w:color="auto"/>
        <w:right w:val="none" w:sz="0" w:space="0" w:color="auto"/>
      </w:divBdr>
    </w:div>
    <w:div w:id="770473610">
      <w:bodyDiv w:val="1"/>
      <w:marLeft w:val="0"/>
      <w:marRight w:val="0"/>
      <w:marTop w:val="0"/>
      <w:marBottom w:val="0"/>
      <w:divBdr>
        <w:top w:val="none" w:sz="0" w:space="0" w:color="auto"/>
        <w:left w:val="none" w:sz="0" w:space="0" w:color="auto"/>
        <w:bottom w:val="none" w:sz="0" w:space="0" w:color="auto"/>
        <w:right w:val="none" w:sz="0" w:space="0" w:color="auto"/>
      </w:divBdr>
    </w:div>
    <w:div w:id="892011272">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068579366">
      <w:bodyDiv w:val="1"/>
      <w:marLeft w:val="0"/>
      <w:marRight w:val="0"/>
      <w:marTop w:val="0"/>
      <w:marBottom w:val="0"/>
      <w:divBdr>
        <w:top w:val="none" w:sz="0" w:space="0" w:color="auto"/>
        <w:left w:val="none" w:sz="0" w:space="0" w:color="auto"/>
        <w:bottom w:val="none" w:sz="0" w:space="0" w:color="auto"/>
        <w:right w:val="none" w:sz="0" w:space="0" w:color="auto"/>
      </w:divBdr>
    </w:div>
    <w:div w:id="1080516618">
      <w:bodyDiv w:val="1"/>
      <w:marLeft w:val="0"/>
      <w:marRight w:val="0"/>
      <w:marTop w:val="0"/>
      <w:marBottom w:val="0"/>
      <w:divBdr>
        <w:top w:val="none" w:sz="0" w:space="0" w:color="auto"/>
        <w:left w:val="none" w:sz="0" w:space="0" w:color="auto"/>
        <w:bottom w:val="none" w:sz="0" w:space="0" w:color="auto"/>
        <w:right w:val="none" w:sz="0" w:space="0" w:color="auto"/>
      </w:divBdr>
    </w:div>
    <w:div w:id="1196239339">
      <w:bodyDiv w:val="1"/>
      <w:marLeft w:val="0"/>
      <w:marRight w:val="0"/>
      <w:marTop w:val="0"/>
      <w:marBottom w:val="0"/>
      <w:divBdr>
        <w:top w:val="none" w:sz="0" w:space="0" w:color="auto"/>
        <w:left w:val="none" w:sz="0" w:space="0" w:color="auto"/>
        <w:bottom w:val="none" w:sz="0" w:space="0" w:color="auto"/>
        <w:right w:val="none" w:sz="0" w:space="0" w:color="auto"/>
      </w:divBdr>
    </w:div>
    <w:div w:id="1281648038">
      <w:bodyDiv w:val="1"/>
      <w:marLeft w:val="0"/>
      <w:marRight w:val="0"/>
      <w:marTop w:val="0"/>
      <w:marBottom w:val="0"/>
      <w:divBdr>
        <w:top w:val="none" w:sz="0" w:space="0" w:color="auto"/>
        <w:left w:val="none" w:sz="0" w:space="0" w:color="auto"/>
        <w:bottom w:val="none" w:sz="0" w:space="0" w:color="auto"/>
        <w:right w:val="none" w:sz="0" w:space="0" w:color="auto"/>
      </w:divBdr>
    </w:div>
    <w:div w:id="1476530762">
      <w:bodyDiv w:val="1"/>
      <w:marLeft w:val="0"/>
      <w:marRight w:val="0"/>
      <w:marTop w:val="0"/>
      <w:marBottom w:val="0"/>
      <w:divBdr>
        <w:top w:val="none" w:sz="0" w:space="0" w:color="auto"/>
        <w:left w:val="none" w:sz="0" w:space="0" w:color="auto"/>
        <w:bottom w:val="none" w:sz="0" w:space="0" w:color="auto"/>
        <w:right w:val="none" w:sz="0" w:space="0" w:color="auto"/>
      </w:divBdr>
      <w:divsChild>
        <w:div w:id="322858407">
          <w:marLeft w:val="0"/>
          <w:marRight w:val="0"/>
          <w:marTop w:val="0"/>
          <w:marBottom w:val="0"/>
          <w:divBdr>
            <w:top w:val="none" w:sz="0" w:space="0" w:color="auto"/>
            <w:left w:val="none" w:sz="0" w:space="0" w:color="auto"/>
            <w:bottom w:val="none" w:sz="0" w:space="0" w:color="auto"/>
            <w:right w:val="none" w:sz="0" w:space="0" w:color="auto"/>
          </w:divBdr>
          <w:divsChild>
            <w:div w:id="469909309">
              <w:marLeft w:val="0"/>
              <w:marRight w:val="0"/>
              <w:marTop w:val="0"/>
              <w:marBottom w:val="0"/>
              <w:divBdr>
                <w:top w:val="none" w:sz="0" w:space="0" w:color="auto"/>
                <w:left w:val="none" w:sz="0" w:space="0" w:color="auto"/>
                <w:bottom w:val="none" w:sz="0" w:space="0" w:color="auto"/>
                <w:right w:val="none" w:sz="0" w:space="0" w:color="auto"/>
              </w:divBdr>
              <w:divsChild>
                <w:div w:id="72707057">
                  <w:marLeft w:val="0"/>
                  <w:marRight w:val="0"/>
                  <w:marTop w:val="0"/>
                  <w:marBottom w:val="0"/>
                  <w:divBdr>
                    <w:top w:val="none" w:sz="0" w:space="0" w:color="auto"/>
                    <w:left w:val="none" w:sz="0" w:space="0" w:color="auto"/>
                    <w:bottom w:val="none" w:sz="0" w:space="0" w:color="auto"/>
                    <w:right w:val="none" w:sz="0" w:space="0" w:color="auto"/>
                  </w:divBdr>
                  <w:divsChild>
                    <w:div w:id="1816751902">
                      <w:marLeft w:val="0"/>
                      <w:marRight w:val="0"/>
                      <w:marTop w:val="0"/>
                      <w:marBottom w:val="0"/>
                      <w:divBdr>
                        <w:top w:val="none" w:sz="0" w:space="0" w:color="auto"/>
                        <w:left w:val="none" w:sz="0" w:space="0" w:color="auto"/>
                        <w:bottom w:val="none" w:sz="0" w:space="0" w:color="auto"/>
                        <w:right w:val="none" w:sz="0" w:space="0" w:color="auto"/>
                      </w:divBdr>
                      <w:divsChild>
                        <w:div w:id="177356400">
                          <w:marLeft w:val="0"/>
                          <w:marRight w:val="0"/>
                          <w:marTop w:val="0"/>
                          <w:marBottom w:val="0"/>
                          <w:divBdr>
                            <w:top w:val="none" w:sz="0" w:space="0" w:color="auto"/>
                            <w:left w:val="none" w:sz="0" w:space="0" w:color="auto"/>
                            <w:bottom w:val="none" w:sz="0" w:space="0" w:color="auto"/>
                            <w:right w:val="none" w:sz="0" w:space="0" w:color="auto"/>
                          </w:divBdr>
                          <w:divsChild>
                            <w:div w:id="2076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16494">
      <w:bodyDiv w:val="1"/>
      <w:marLeft w:val="0"/>
      <w:marRight w:val="0"/>
      <w:marTop w:val="0"/>
      <w:marBottom w:val="0"/>
      <w:divBdr>
        <w:top w:val="none" w:sz="0" w:space="0" w:color="auto"/>
        <w:left w:val="none" w:sz="0" w:space="0" w:color="auto"/>
        <w:bottom w:val="none" w:sz="0" w:space="0" w:color="auto"/>
        <w:right w:val="none" w:sz="0" w:space="0" w:color="auto"/>
      </w:divBdr>
    </w:div>
    <w:div w:id="1732845653">
      <w:bodyDiv w:val="1"/>
      <w:marLeft w:val="0"/>
      <w:marRight w:val="0"/>
      <w:marTop w:val="0"/>
      <w:marBottom w:val="0"/>
      <w:divBdr>
        <w:top w:val="none" w:sz="0" w:space="0" w:color="auto"/>
        <w:left w:val="none" w:sz="0" w:space="0" w:color="auto"/>
        <w:bottom w:val="none" w:sz="0" w:space="0" w:color="auto"/>
        <w:right w:val="none" w:sz="0" w:space="0" w:color="auto"/>
      </w:divBdr>
      <w:divsChild>
        <w:div w:id="1983076117">
          <w:marLeft w:val="0"/>
          <w:marRight w:val="0"/>
          <w:marTop w:val="0"/>
          <w:marBottom w:val="0"/>
          <w:divBdr>
            <w:top w:val="none" w:sz="0" w:space="0" w:color="auto"/>
            <w:left w:val="none" w:sz="0" w:space="0" w:color="auto"/>
            <w:bottom w:val="none" w:sz="0" w:space="0" w:color="auto"/>
            <w:right w:val="none" w:sz="0" w:space="0" w:color="auto"/>
          </w:divBdr>
          <w:divsChild>
            <w:div w:id="1752505279">
              <w:marLeft w:val="0"/>
              <w:marRight w:val="0"/>
              <w:marTop w:val="0"/>
              <w:marBottom w:val="0"/>
              <w:divBdr>
                <w:top w:val="none" w:sz="0" w:space="0" w:color="auto"/>
                <w:left w:val="none" w:sz="0" w:space="0" w:color="auto"/>
                <w:bottom w:val="none" w:sz="0" w:space="0" w:color="auto"/>
                <w:right w:val="none" w:sz="0" w:space="0" w:color="auto"/>
              </w:divBdr>
              <w:divsChild>
                <w:div w:id="1943685538">
                  <w:marLeft w:val="0"/>
                  <w:marRight w:val="0"/>
                  <w:marTop w:val="0"/>
                  <w:marBottom w:val="0"/>
                  <w:divBdr>
                    <w:top w:val="none" w:sz="0" w:space="0" w:color="auto"/>
                    <w:left w:val="none" w:sz="0" w:space="0" w:color="auto"/>
                    <w:bottom w:val="none" w:sz="0" w:space="0" w:color="auto"/>
                    <w:right w:val="none" w:sz="0" w:space="0" w:color="auto"/>
                  </w:divBdr>
                  <w:divsChild>
                    <w:div w:id="996106450">
                      <w:marLeft w:val="0"/>
                      <w:marRight w:val="0"/>
                      <w:marTop w:val="0"/>
                      <w:marBottom w:val="0"/>
                      <w:divBdr>
                        <w:top w:val="none" w:sz="0" w:space="0" w:color="auto"/>
                        <w:left w:val="none" w:sz="0" w:space="0" w:color="auto"/>
                        <w:bottom w:val="none" w:sz="0" w:space="0" w:color="auto"/>
                        <w:right w:val="none" w:sz="0" w:space="0" w:color="auto"/>
                      </w:divBdr>
                      <w:divsChild>
                        <w:div w:id="1485968006">
                          <w:marLeft w:val="0"/>
                          <w:marRight w:val="0"/>
                          <w:marTop w:val="0"/>
                          <w:marBottom w:val="0"/>
                          <w:divBdr>
                            <w:top w:val="none" w:sz="0" w:space="0" w:color="auto"/>
                            <w:left w:val="none" w:sz="0" w:space="0" w:color="auto"/>
                            <w:bottom w:val="none" w:sz="0" w:space="0" w:color="auto"/>
                            <w:right w:val="none" w:sz="0" w:space="0" w:color="auto"/>
                          </w:divBdr>
                          <w:divsChild>
                            <w:div w:id="9892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11</cp:revision>
  <cp:lastPrinted>2015-09-24T15:30:00Z</cp:lastPrinted>
  <dcterms:created xsi:type="dcterms:W3CDTF">2025-01-31T14:49:00Z</dcterms:created>
  <dcterms:modified xsi:type="dcterms:W3CDTF">2025-04-16T15:40:00Z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