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97" w:rsidRPr="005D1B94" w:rsidRDefault="00B34367" w:rsidP="006135E9">
      <w:pPr>
        <w:pStyle w:val="Heading5"/>
        <w:tabs>
          <w:tab w:val="left" w:pos="900"/>
        </w:tabs>
        <w:spacing w:before="0"/>
        <w:ind w:left="5760" w:firstLine="720"/>
        <w:jc w:val="right"/>
      </w:pPr>
      <w:r>
        <w:rPr>
          <w:rFonts w:ascii="Times New Roman" w:hAnsi="Times New Roman" w:cs="Times New Roman"/>
          <w:b w:val="0"/>
        </w:rPr>
        <w:t>February 14, 2018</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B34367">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B34367">
        <w:rPr>
          <w:b/>
          <w:bCs/>
        </w:rPr>
        <w:t>Monthly Update Call</w:t>
      </w:r>
      <w:r w:rsidR="00016C80">
        <w:rPr>
          <w:b/>
          <w:bCs/>
        </w:rPr>
        <w:t xml:space="preserve"> – </w:t>
      </w:r>
      <w:r w:rsidR="00292873">
        <w:rPr>
          <w:b/>
          <w:bCs/>
        </w:rPr>
        <w:t xml:space="preserve">WEQ/WGQ </w:t>
      </w:r>
      <w:bookmarkStart w:id="0" w:name="_Hlk490054393"/>
      <w:r w:rsidR="00292873">
        <w:rPr>
          <w:b/>
          <w:bCs/>
        </w:rPr>
        <w:t>FERC Forms Subcommittee</w:t>
      </w:r>
      <w:r w:rsidR="00A01084">
        <w:rPr>
          <w:b/>
          <w:bCs/>
        </w:rPr>
        <w:t xml:space="preserve"> </w:t>
      </w:r>
      <w:proofErr w:type="spellStart"/>
      <w:r w:rsidR="00A01084">
        <w:rPr>
          <w:b/>
          <w:bCs/>
        </w:rPr>
        <w:t>eForms</w:t>
      </w:r>
      <w:proofErr w:type="spellEnd"/>
      <w:r w:rsidR="00A01084">
        <w:rPr>
          <w:b/>
          <w:bCs/>
        </w:rPr>
        <w:t xml:space="preserve"> Effort</w:t>
      </w:r>
      <w:bookmarkEnd w:id="0"/>
    </w:p>
    <w:p w:rsidR="003B79AC" w:rsidRDefault="00B34367" w:rsidP="00B34367">
      <w:pPr>
        <w:widowControl w:val="0"/>
        <w:spacing w:before="120" w:after="120"/>
        <w:jc w:val="both"/>
      </w:pPr>
      <w:r>
        <w:t xml:space="preserve">This year, the WEQ/WGQ FERC Forms Subcommittee will reconvene to continue to address FERC Form 1.  Per previous guidance from FERC staff, the subcommittee began its efforts with FERC Form 1, focusing on the identification of foundational elements of the XML structure.  Using these foundational elements, FERC staff has committed to providing the XML and </w:t>
      </w:r>
      <w:proofErr w:type="spellStart"/>
      <w:r>
        <w:t>XSD</w:t>
      </w:r>
      <w:proofErr w:type="spellEnd"/>
      <w:r>
        <w:t xml:space="preserve"> for each of the forms, beginning with FERC Form 1.</w:t>
      </w:r>
      <w:r w:rsidR="00661C78">
        <w:t xml:space="preserve">  Once FERC staff has completed the XML and </w:t>
      </w:r>
      <w:proofErr w:type="spellStart"/>
      <w:r w:rsidR="00661C78">
        <w:t>XSD</w:t>
      </w:r>
      <w:proofErr w:type="spellEnd"/>
      <w:r w:rsidR="00661C78">
        <w:t xml:space="preserve"> for FERC Form 1, the subcommittee will evaluate the documents and make any necessary revisions as well as developed related standards, potentially to include use cases and a data dictionary.  </w:t>
      </w:r>
      <w:r w:rsidR="003B79AC" w:rsidRPr="003B79AC">
        <w:t>It is expected that</w:t>
      </w:r>
      <w:r w:rsidR="006B6154">
        <w:t>,</w:t>
      </w:r>
      <w:r w:rsidR="003B79AC" w:rsidRPr="003B79AC">
        <w:t xml:space="preserve"> after the completion of the documentation for FERC Form 1</w:t>
      </w:r>
      <w:r w:rsidR="00661C78">
        <w:t xml:space="preserve">, </w:t>
      </w:r>
      <w:bookmarkStart w:id="1" w:name="_GoBack"/>
      <w:bookmarkEnd w:id="1"/>
      <w:r w:rsidR="003B79AC" w:rsidRPr="003B79AC">
        <w:t>the work on the remaining forms identified as part of the project will precede on a truncated timeline as most of the XML foundational work will have been resolved.</w:t>
      </w:r>
    </w:p>
    <w:p w:rsidR="000F1C87" w:rsidRDefault="006B6154" w:rsidP="000A3846">
      <w:pPr>
        <w:widowControl w:val="0"/>
        <w:spacing w:after="120"/>
        <w:jc w:val="both"/>
      </w:pPr>
      <w:r>
        <w:t>As you may remember, t</w:t>
      </w:r>
      <w:r w:rsidR="003B79AC">
        <w:t>h</w:t>
      </w:r>
      <w:r>
        <w:t xml:space="preserve">e </w:t>
      </w:r>
      <w:proofErr w:type="spellStart"/>
      <w:r>
        <w:t>eForms</w:t>
      </w:r>
      <w:proofErr w:type="spellEnd"/>
      <w:r>
        <w:t xml:space="preserve"> </w:t>
      </w:r>
      <w:r w:rsidR="003B79AC">
        <w:t>effort is i</w:t>
      </w:r>
      <w:r w:rsidR="003B79AC" w:rsidRPr="006D705E">
        <w:rPr>
          <w:bCs/>
          <w:iCs/>
        </w:rPr>
        <w:t xml:space="preserve">n response to the </w:t>
      </w:r>
      <w:r w:rsidR="003B79AC" w:rsidRPr="006D705E">
        <w:t xml:space="preserve">FERC </w:t>
      </w:r>
      <w:bookmarkStart w:id="2" w:name="_Hlk490124510"/>
      <w:r w:rsidR="003B79AC" w:rsidRPr="006D705E">
        <w:rPr>
          <w:bCs/>
          <w:i/>
          <w:iCs/>
        </w:rPr>
        <w:t>Order Instituting Proceeding to Develop Electronic Filing Protocols for Commission Forms</w:t>
      </w:r>
      <w:bookmarkEnd w:id="2"/>
      <w:r w:rsidR="003B79AC" w:rsidRPr="006D705E">
        <w:t xml:space="preserve"> issued on April 16, 2015 in Docket No. AD15-11-000.</w:t>
      </w:r>
      <w:r w:rsidR="003B79AC" w:rsidRPr="003B79AC">
        <w:rPr>
          <w:rStyle w:val="FootnoteReference"/>
        </w:rPr>
        <w:t xml:space="preserve"> </w:t>
      </w:r>
      <w:r w:rsidR="003B79AC" w:rsidRPr="002E5E27">
        <w:rPr>
          <w:rStyle w:val="FootnoteReference"/>
        </w:rPr>
        <w:footnoteReference w:id="1"/>
      </w:r>
      <w:r w:rsidR="003B79AC">
        <w:t xml:space="preserve">  In that o</w:t>
      </w:r>
      <w:r w:rsidR="003B79AC" w:rsidRPr="006D705E">
        <w:t xml:space="preserve">rder, </w:t>
      </w:r>
      <w:r w:rsidR="003B79AC">
        <w:t>FERC</w:t>
      </w:r>
      <w:r w:rsidR="003B79AC" w:rsidRPr="006D705E">
        <w:t xml:space="preserve"> </w:t>
      </w:r>
      <w:r w:rsidR="003B79AC">
        <w:t xml:space="preserve">notified the public </w:t>
      </w:r>
      <w:r w:rsidR="003B79AC" w:rsidRPr="006D705E">
        <w:t>that Microsoft is no longer supporting Visual FoxPro and requested that the industry consider the transition of certain forms from Visual FoxPro to XML</w:t>
      </w:r>
      <w:r>
        <w:t>.</w:t>
      </w:r>
      <w:r w:rsidR="003B79AC">
        <w:t xml:space="preserve"> </w:t>
      </w:r>
      <w:r>
        <w:t xml:space="preserve"> S</w:t>
      </w:r>
      <w:r w:rsidR="003B79AC">
        <w:t>pecifically</w:t>
      </w:r>
      <w:r>
        <w:t>,</w:t>
      </w:r>
      <w:r w:rsidR="003B79AC">
        <w:t xml:space="preserve"> </w:t>
      </w:r>
      <w:r w:rsidR="003B79AC" w:rsidRPr="006D705E">
        <w:t>Forms 1, 1-F, 2, 2-A, 3-Q electric, 3-Q gas, 6, 6-Q, FERC-60 and FERC-714.</w:t>
      </w:r>
    </w:p>
    <w:p w:rsidR="00605AEA" w:rsidRPr="008F109A" w:rsidRDefault="006B6154" w:rsidP="000A3846">
      <w:pPr>
        <w:widowControl w:val="0"/>
        <w:spacing w:after="120"/>
        <w:jc w:val="both"/>
      </w:pPr>
      <w:r>
        <w:t>Also of note</w:t>
      </w:r>
      <w:r w:rsidR="003B79AC">
        <w:t>, the Commission stated that “[w]</w:t>
      </w:r>
      <w:proofErr w:type="spellStart"/>
      <w:r w:rsidR="003B79AC">
        <w:t>orking</w:t>
      </w:r>
      <w:proofErr w:type="spellEnd"/>
      <w:r w:rsidR="003B79AC">
        <w:t xml:space="preserve"> with the NAESB consensus standards development process to facilitate discussions between Commission staff and industry proved invaluable during the development of </w:t>
      </w:r>
      <w:proofErr w:type="spellStart"/>
      <w:r w:rsidR="003B79AC">
        <w:t>eTariff</w:t>
      </w:r>
      <w:proofErr w:type="spellEnd"/>
      <w:r w:rsidR="003B79AC">
        <w:t>.”</w:t>
      </w:r>
      <w:r w:rsidR="003B79AC">
        <w:rPr>
          <w:rStyle w:val="FootnoteReference"/>
        </w:rPr>
        <w:footnoteReference w:id="2"/>
      </w:r>
      <w:r w:rsidR="003B79AC">
        <w:t xml:space="preserve">  After citing this past success of the NAESB </w:t>
      </w:r>
      <w:proofErr w:type="spellStart"/>
      <w:r w:rsidR="003B79AC">
        <w:t>eTariff</w:t>
      </w:r>
      <w:proofErr w:type="spellEnd"/>
      <w:r w:rsidR="003B79AC">
        <w:t xml:space="preserve"> efforts, FERC encouraged the industry to work through NAESB to accomplish this industry objective.  Additionally, the Commission hosted a technical conference, that included NAESB, to initiate discussion on the transition to the new submission format.</w:t>
      </w:r>
      <w:r w:rsidR="000F1C87">
        <w:t xml:space="preserve">  </w:t>
      </w:r>
      <w:r w:rsidR="00F35762" w:rsidRPr="006D705E">
        <w:t>The WGQ/WEQ FERC Forms Subcommittee conference calls and meetings</w:t>
      </w:r>
      <w:r w:rsidR="003B79AC">
        <w:t xml:space="preserve"> </w:t>
      </w:r>
      <w:r w:rsidR="00F35762" w:rsidRPr="006D705E">
        <w:t>are open to any interested party.</w:t>
      </w:r>
      <w:r w:rsidR="003D4867">
        <w:t xml:space="preserve">  The next meeting will be announced by the NAESB office.</w:t>
      </w:r>
    </w:p>
    <w:sectPr w:rsidR="00605AEA" w:rsidRPr="008F109A"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367" w:rsidRDefault="00B34367">
      <w:r>
        <w:separator/>
      </w:r>
    </w:p>
  </w:endnote>
  <w:endnote w:type="continuationSeparator" w:id="0">
    <w:p w:rsidR="00B34367" w:rsidRDefault="00B3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67" w:rsidRPr="00176FB9" w:rsidRDefault="00B34367" w:rsidP="005E6421">
    <w:pPr>
      <w:pStyle w:val="Footer"/>
      <w:pBdr>
        <w:top w:val="single" w:sz="12" w:space="1" w:color="auto"/>
      </w:pBdr>
      <w:jc w:val="right"/>
      <w:rPr>
        <w:sz w:val="18"/>
        <w:szCs w:val="18"/>
      </w:rPr>
    </w:pPr>
    <w:r>
      <w:rPr>
        <w:sz w:val="18"/>
        <w:szCs w:val="18"/>
      </w:rPr>
      <w:t xml:space="preserve">Update on WGQ and WEQ </w:t>
    </w:r>
    <w:r w:rsidRPr="000D2FD2">
      <w:rPr>
        <w:bCs/>
        <w:sz w:val="18"/>
        <w:szCs w:val="18"/>
      </w:rPr>
      <w:t xml:space="preserve">FERC Forms Subcommittee </w:t>
    </w:r>
    <w:proofErr w:type="spellStart"/>
    <w:r w:rsidRPr="000D2FD2">
      <w:rPr>
        <w:bCs/>
        <w:sz w:val="18"/>
        <w:szCs w:val="18"/>
      </w:rPr>
      <w:t>eForms</w:t>
    </w:r>
    <w:proofErr w:type="spellEnd"/>
    <w:r w:rsidRPr="000D2FD2">
      <w:rPr>
        <w:bCs/>
        <w:sz w:val="18"/>
        <w:szCs w:val="18"/>
      </w:rPr>
      <w:t xml:space="preserve"> Effort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367" w:rsidRDefault="00B34367">
      <w:r>
        <w:separator/>
      </w:r>
    </w:p>
  </w:footnote>
  <w:footnote w:type="continuationSeparator" w:id="0">
    <w:p w:rsidR="00B34367" w:rsidRDefault="00B34367">
      <w:r>
        <w:continuationSeparator/>
      </w:r>
    </w:p>
  </w:footnote>
  <w:footnote w:id="1">
    <w:p w:rsidR="00B34367" w:rsidRPr="002E5E27" w:rsidRDefault="00B34367" w:rsidP="003B79AC">
      <w:pPr>
        <w:pStyle w:val="FootnoteText"/>
        <w:rPr>
          <w:sz w:val="16"/>
          <w:szCs w:val="16"/>
        </w:rPr>
      </w:pPr>
      <w:r w:rsidRPr="002E5E27">
        <w:rPr>
          <w:rStyle w:val="FootnoteReference"/>
          <w:sz w:val="16"/>
          <w:szCs w:val="16"/>
        </w:rPr>
        <w:footnoteRef/>
      </w:r>
      <w:r w:rsidRPr="002E5E27">
        <w:rPr>
          <w:sz w:val="16"/>
          <w:szCs w:val="16"/>
        </w:rPr>
        <w:t xml:space="preserve"> </w:t>
      </w:r>
      <w:r w:rsidRPr="002E5E27">
        <w:rPr>
          <w:bCs/>
          <w:i/>
          <w:iCs/>
          <w:sz w:val="16"/>
          <w:szCs w:val="16"/>
        </w:rPr>
        <w:t>Electronic Filing Protocols for Commission Forms</w:t>
      </w:r>
      <w:r w:rsidRPr="002E5E27">
        <w:rPr>
          <w:sz w:val="16"/>
          <w:szCs w:val="16"/>
        </w:rPr>
        <w:t>, 151 FERC ¶ 61,025 (2015)</w:t>
      </w:r>
      <w:r>
        <w:rPr>
          <w:sz w:val="16"/>
          <w:szCs w:val="16"/>
        </w:rPr>
        <w:t xml:space="preserve"> is available at the following link: </w:t>
      </w:r>
      <w:hyperlink r:id="rId1" w:history="1">
        <w:r w:rsidRPr="001B7F87">
          <w:rPr>
            <w:rStyle w:val="Hyperlink"/>
            <w:sz w:val="16"/>
            <w:szCs w:val="16"/>
          </w:rPr>
          <w:t>https://www.naesb.org/pdf4/ferc041615_electronic_filing_protocols_forms.pdf</w:t>
        </w:r>
      </w:hyperlink>
      <w:r>
        <w:rPr>
          <w:sz w:val="16"/>
          <w:szCs w:val="16"/>
        </w:rPr>
        <w:t>.</w:t>
      </w:r>
    </w:p>
  </w:footnote>
  <w:footnote w:id="2">
    <w:p w:rsidR="00B34367" w:rsidRDefault="00B34367" w:rsidP="003B79AC">
      <w:pPr>
        <w:pStyle w:val="FootnoteText"/>
      </w:pPr>
      <w:r w:rsidRPr="002E5E27">
        <w:rPr>
          <w:rStyle w:val="FootnoteReference"/>
          <w:sz w:val="16"/>
          <w:szCs w:val="16"/>
        </w:rPr>
        <w:footnoteRef/>
      </w:r>
      <w:r w:rsidRPr="002E5E27">
        <w:rPr>
          <w:sz w:val="16"/>
          <w:szCs w:val="16"/>
        </w:rPr>
        <w:t xml:space="preserve"> </w:t>
      </w:r>
      <w:bookmarkStart w:id="3" w:name="_Hlk490124393"/>
      <w:r w:rsidRPr="002E5E27">
        <w:rPr>
          <w:i/>
          <w:sz w:val="16"/>
          <w:szCs w:val="16"/>
        </w:rPr>
        <w:t>Id.</w:t>
      </w:r>
      <w:r w:rsidRPr="002E5E27">
        <w:rPr>
          <w:sz w:val="16"/>
          <w:szCs w:val="16"/>
        </w:rPr>
        <w:t xml:space="preserve"> at P 9</w:t>
      </w:r>
      <w:bookmarkEnd w:id="3"/>
      <w:r w:rsidRPr="002E5E2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67" w:rsidRPr="00D65256" w:rsidRDefault="00B3436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67" w:rsidRDefault="00B3436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0A3846" w:rsidRDefault="000A3846"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B34367" w:rsidRPr="00D65256" w:rsidRDefault="00B34367"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B34367" w:rsidRPr="00D65256" w:rsidRDefault="00B3436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B34367" w:rsidRPr="003019B2" w:rsidRDefault="00B3436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B34367" w:rsidRDefault="00B34367"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B34367" w:rsidRPr="00D65256" w:rsidRDefault="00B34367" w:rsidP="005E6421">
    <w:pPr>
      <w:pStyle w:val="Header"/>
      <w:pBdr>
        <w:bottom w:val="single" w:sz="18" w:space="1" w:color="auto"/>
      </w:pBdr>
      <w:ind w:left="1800" w:hanging="1800"/>
      <w:jc w:val="right"/>
    </w:pPr>
  </w:p>
  <w:p w:rsidR="00B34367" w:rsidRDefault="00B34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DB0"/>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DC2"/>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3846"/>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D2"/>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1C87"/>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A0B"/>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5F3C"/>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41"/>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287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E27"/>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C37"/>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AC"/>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4867"/>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2187"/>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07D88"/>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35E9"/>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C78"/>
    <w:rsid w:val="00661F19"/>
    <w:rsid w:val="006620AF"/>
    <w:rsid w:val="006621B9"/>
    <w:rsid w:val="006626B4"/>
    <w:rsid w:val="00662D3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15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0F8C"/>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3EA3"/>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4DA"/>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397"/>
    <w:rsid w:val="00A56DCC"/>
    <w:rsid w:val="00A57336"/>
    <w:rsid w:val="00A574E2"/>
    <w:rsid w:val="00A5781B"/>
    <w:rsid w:val="00A57A64"/>
    <w:rsid w:val="00A57F1D"/>
    <w:rsid w:val="00A57FA8"/>
    <w:rsid w:val="00A57FBC"/>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367"/>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EB1"/>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08A"/>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033"/>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762"/>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4FA7"/>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77E74"/>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198ACB15"/>
  <w15:docId w15:val="{68FEEA63-1113-445A-9B35-493036CD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UnresolvedMention">
    <w:name w:val="Unresolved Mention"/>
    <w:basedOn w:val="DefaultParagraphFont"/>
    <w:uiPriority w:val="99"/>
    <w:semiHidden/>
    <w:unhideWhenUsed/>
    <w:rsid w:val="003B79AC"/>
    <w:rPr>
      <w:color w:val="808080"/>
      <w:shd w:val="clear" w:color="auto" w:fill="E6E6E6"/>
    </w:rPr>
  </w:style>
  <w:style w:type="character" w:styleId="FollowedHyperlink">
    <w:name w:val="FollowedHyperlink"/>
    <w:basedOn w:val="DefaultParagraphFont"/>
    <w:uiPriority w:val="99"/>
    <w:semiHidden/>
    <w:unhideWhenUsed/>
    <w:rsid w:val="003B79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71CE5-C9EA-41DE-B373-1322C0D8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1865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2018-02-15T03:55:00Z</dcterms:created>
  <dcterms:modified xsi:type="dcterms:W3CDTF">2018-02-15T03:55:00Z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