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w:t>
      </w:r>
      <w:r>
        <w:rPr>
          <w:rFonts w:ascii="Tahoma" w:eastAsia="Times New Roman" w:hAnsi="Tahoma" w:cs="Tahoma"/>
          <w:sz w:val="20"/>
          <w:szCs w:val="20"/>
        </w:rPr>
        <w:t>S</w:t>
      </w:r>
      <w:r>
        <w:rPr>
          <w:rFonts w:ascii="Tahoma" w:eastAsia="Times New Roman" w:hAnsi="Tahoma" w:cs="Tahoma"/>
          <w:sz w:val="20"/>
          <w:szCs w:val="20"/>
        </w:rPr>
        <w:t>tephen</w:t>
      </w:r>
      <w:r>
        <w:rPr>
          <w:rFonts w:ascii="Tahoma" w:eastAsia="Times New Roman" w:hAnsi="Tahoma" w:cs="Tahoma"/>
          <w:sz w:val="20"/>
          <w:szCs w:val="20"/>
        </w:rPr>
        <w:t xml:space="preserve"> Bennett – Exelon/Constellation</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January 04, 2013 11:51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naesb</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Exelon/Constellation Comments on NAESB Retail Customer Authorization Form</w:t>
      </w:r>
    </w:p>
    <w:p/>
    <w:p>
      <w:r>
        <w:t>Dear Ms. Trum</w:t>
      </w:r>
    </w:p>
    <w:p/>
    <w:p>
      <w:r>
        <w:t>Exelon/Constellation submits these comments on the NAESB Retail Request for Comments on the Retail Customer Authorization Form.  Generally, we find the NAESB LOA form to be well structured.  However, our experience has shown that simplifying the form to the greatest extent possible lessens the occurrence of customer errors.  As such, many of our comments focus on the length and requested detail on the form itself.</w:t>
      </w:r>
    </w:p>
    <w:p/>
    <w:p>
      <w:pPr>
        <w:pStyle w:val="PlainText"/>
        <w:ind w:left="720" w:hanging="360"/>
        <w:rPr>
          <w:rFonts w:ascii="Calibri" w:hAnsi="Calibri"/>
          <w:sz w:val="22"/>
          <w:szCs w:val="22"/>
        </w:rPr>
      </w:pPr>
      <w:r>
        <w:rPr>
          <w:rFonts w:ascii="Calibri" w:hAnsi="Calibri"/>
          <w:sz w:val="22"/>
          <w:szCs w:val="22"/>
        </w:rPr>
        <w:t>1.</w:t>
      </w:r>
      <w:r>
        <w:rPr>
          <w:rFonts w:ascii="Times New Roman" w:hAnsi="Times New Roman" w:cs="Times New Roman"/>
          <w:sz w:val="14"/>
          <w:szCs w:val="14"/>
        </w:rPr>
        <w:t xml:space="preserve">       </w:t>
      </w:r>
      <w:r>
        <w:rPr>
          <w:rFonts w:ascii="Calibri" w:hAnsi="Calibri"/>
          <w:sz w:val="22"/>
          <w:szCs w:val="22"/>
        </w:rPr>
        <w:t xml:space="preserve">Not all utilities require that these types of forms be provided to the utility.  In some cases, the retail supplier keeps the form and provides it to the Commission upon request, like New York.  Consequently, we recommend that the directions about what to do with the form should be provided separately and not included on the form itself or two options should be provided.  We consider it optimal for retail markets that licensed suppliers hold the forms and no submittal to the utility </w:t>
      </w:r>
      <w:proofErr w:type="gramStart"/>
      <w:r>
        <w:rPr>
          <w:rFonts w:ascii="Calibri" w:hAnsi="Calibri"/>
          <w:sz w:val="22"/>
          <w:szCs w:val="22"/>
        </w:rPr>
        <w:t>be</w:t>
      </w:r>
      <w:proofErr w:type="gramEnd"/>
      <w:r>
        <w:rPr>
          <w:rFonts w:ascii="Calibri" w:hAnsi="Calibri"/>
          <w:sz w:val="22"/>
          <w:szCs w:val="22"/>
        </w:rPr>
        <w:t xml:space="preserve"> required, so we do not recommend that the NAESB form assume the forms must be provided to the utility.</w:t>
      </w:r>
    </w:p>
    <w:p>
      <w:pPr>
        <w:pStyle w:val="PlainText"/>
        <w:rPr>
          <w:rFonts w:ascii="Calibri" w:hAnsi="Calibri"/>
          <w:sz w:val="22"/>
          <w:szCs w:val="22"/>
        </w:rPr>
      </w:pPr>
    </w:p>
    <w:p>
      <w:pPr>
        <w:pStyle w:val="PlainText"/>
        <w:ind w:left="720" w:hanging="360"/>
        <w:rPr>
          <w:rFonts w:ascii="Calibri" w:hAnsi="Calibri"/>
          <w:sz w:val="22"/>
          <w:szCs w:val="22"/>
        </w:rPr>
      </w:pPr>
      <w:r>
        <w:rPr>
          <w:rFonts w:ascii="Calibri" w:hAnsi="Calibri"/>
          <w:sz w:val="22"/>
          <w:szCs w:val="22"/>
        </w:rPr>
        <w:t>2.</w:t>
      </w:r>
      <w:r>
        <w:rPr>
          <w:rFonts w:ascii="Times New Roman" w:hAnsi="Times New Roman" w:cs="Times New Roman"/>
          <w:sz w:val="14"/>
          <w:szCs w:val="14"/>
        </w:rPr>
        <w:t xml:space="preserve">       </w:t>
      </w:r>
      <w:proofErr w:type="gramStart"/>
      <w:r>
        <w:rPr>
          <w:rFonts w:ascii="Calibri" w:hAnsi="Calibri"/>
          <w:sz w:val="22"/>
          <w:szCs w:val="22"/>
        </w:rPr>
        <w:t>The  verbiage</w:t>
      </w:r>
      <w:proofErr w:type="gramEnd"/>
      <w:r>
        <w:rPr>
          <w:rFonts w:ascii="Calibri" w:hAnsi="Calibri"/>
          <w:sz w:val="22"/>
          <w:szCs w:val="22"/>
        </w:rPr>
        <w:t xml:space="preserve"> should indicate that signing this form in no way binds the customer to purchase services from the supplier. </w:t>
      </w:r>
    </w:p>
    <w:p>
      <w:pPr>
        <w:pStyle w:val="ListParagraph"/>
        <w:ind w:left="1800" w:hanging="360"/>
      </w:pPr>
      <w:proofErr w:type="gramStart"/>
      <w:r>
        <w:rPr>
          <w:rFonts w:ascii="Symbol" w:hAnsi="Symbol"/>
        </w:rPr>
        <w:t></w:t>
      </w:r>
      <w:r>
        <w:rPr>
          <w:rFonts w:ascii="Times New Roman" w:hAnsi="Times New Roman"/>
          <w:sz w:val="14"/>
          <w:szCs w:val="14"/>
        </w:rPr>
        <w:t xml:space="preserve">         </w:t>
      </w:r>
      <w:r>
        <w:t>Ex.</w:t>
      </w:r>
      <w:proofErr w:type="gramEnd"/>
      <w:r>
        <w:t xml:space="preserve"> This authorization in no way binds me to the purchase of any service or product from the Company named herein and is to be used for the sole purpose of determining my offer price of electricity service or the provision of energy-related services.</w:t>
      </w:r>
    </w:p>
    <w:p>
      <w:pPr>
        <w:pStyle w:val="ListParagraph"/>
        <w:ind w:left="1800"/>
      </w:pPr>
    </w:p>
    <w:p>
      <w:pPr>
        <w:pStyle w:val="ListParagraph"/>
        <w:ind w:hanging="360"/>
      </w:pPr>
      <w:r>
        <w:t>3.</w:t>
      </w:r>
      <w:r>
        <w:rPr>
          <w:rFonts w:ascii="Times New Roman" w:hAnsi="Times New Roman"/>
          <w:sz w:val="14"/>
          <w:szCs w:val="14"/>
        </w:rPr>
        <w:t xml:space="preserve">       </w:t>
      </w:r>
      <w:r>
        <w:t>Data Range – In the middle of the form the date range determines the date the LOA starts and expires.  This should be moved below the expiration date.  If an expiration date is not sufficient, then the customer will have the opportunity to specify when the LOA should start and expire. Ideally, we would prefer that the entire data range be removed and only provide the expiration date. This extends the possible life of the LOA.</w:t>
      </w:r>
    </w:p>
    <w:p>
      <w:pPr>
        <w:pStyle w:val="ListParagraph"/>
      </w:pPr>
    </w:p>
    <w:p>
      <w:pPr>
        <w:pStyle w:val="ListParagraph"/>
        <w:ind w:hanging="360"/>
      </w:pPr>
      <w:r>
        <w:t>4.</w:t>
      </w:r>
      <w:r>
        <w:rPr>
          <w:rFonts w:ascii="Times New Roman" w:hAnsi="Times New Roman"/>
          <w:sz w:val="14"/>
          <w:szCs w:val="14"/>
        </w:rPr>
        <w:t xml:space="preserve">       </w:t>
      </w:r>
      <w:r>
        <w:t>Summary and Interval Usage Request – We recommend combining the two and also removing the option of selecting specific intervals.  We do not believe that customers generally know how the utilities send interval usage to the supplier which may create confusion.</w:t>
      </w:r>
    </w:p>
    <w:p>
      <w:pPr>
        <w:pStyle w:val="ListParagraph"/>
        <w:ind w:left="1800"/>
      </w:pPr>
    </w:p>
    <w:p>
      <w:pPr>
        <w:pStyle w:val="ListParagraph"/>
        <w:ind w:hanging="360"/>
      </w:pPr>
      <w:r>
        <w:t>5.</w:t>
      </w:r>
      <w:r>
        <w:rPr>
          <w:rFonts w:ascii="Times New Roman" w:hAnsi="Times New Roman"/>
          <w:sz w:val="14"/>
          <w:szCs w:val="14"/>
        </w:rPr>
        <w:t xml:space="preserve">       </w:t>
      </w:r>
      <w:r>
        <w:t xml:space="preserve"> Specific Data to be </w:t>
      </w:r>
      <w:proofErr w:type="gramStart"/>
      <w:r>
        <w:t>Provided</w:t>
      </w:r>
      <w:proofErr w:type="gramEnd"/>
      <w:r>
        <w:t xml:space="preserve"> (kWh, kW, </w:t>
      </w:r>
      <w:proofErr w:type="spellStart"/>
      <w:r>
        <w:t>kVa</w:t>
      </w:r>
      <w:proofErr w:type="spellEnd"/>
      <w:r>
        <w:t xml:space="preserve">, </w:t>
      </w:r>
      <w:proofErr w:type="spellStart"/>
      <w:r>
        <w:t>kVarh</w:t>
      </w:r>
      <w:proofErr w:type="spellEnd"/>
      <w:r>
        <w:t>, and gas Usage) – To the best of our knowledge, we do not believe that this information is required by utilities.  To minimize confusion we recommend removing this option completely.</w:t>
      </w:r>
    </w:p>
    <w:p/>
    <w:p/>
    <w:p>
      <w:pPr>
        <w:rPr>
          <w:rFonts w:ascii="Franklin Gothic Medium" w:hAnsi="Franklin Gothic Medium"/>
          <w:color w:val="2372B9"/>
        </w:rPr>
      </w:pPr>
      <w:r>
        <w:rPr>
          <w:rFonts w:ascii="Franklin Gothic Medium" w:hAnsi="Franklin Gothic Medium"/>
          <w:color w:val="2372B9"/>
        </w:rPr>
        <w:t>Stephen Bennett</w:t>
      </w:r>
    </w:p>
    <w:p>
      <w:pPr>
        <w:rPr>
          <w:rFonts w:ascii="Franklin Gothic Book" w:hAnsi="Franklin Gothic Book"/>
          <w:color w:val="2372B9"/>
          <w:sz w:val="18"/>
          <w:szCs w:val="18"/>
        </w:rPr>
      </w:pPr>
      <w:r>
        <w:rPr>
          <w:rFonts w:ascii="Franklin Gothic Book" w:hAnsi="Franklin Gothic Book"/>
          <w:color w:val="2372B9"/>
          <w:sz w:val="18"/>
          <w:szCs w:val="18"/>
        </w:rPr>
        <w:t>Director, State Government Affairs - East</w:t>
      </w:r>
      <w:r>
        <w:rPr>
          <w:rFonts w:ascii="Franklin Gothic Book" w:hAnsi="Franklin Gothic Book"/>
          <w:color w:val="2372B9"/>
          <w:sz w:val="18"/>
          <w:szCs w:val="18"/>
        </w:rPr>
        <w:br/>
        <w:t>Exelon Corporation</w:t>
      </w:r>
    </w:p>
    <w:p>
      <w:pPr>
        <w:rPr>
          <w:rFonts w:ascii="Franklin Gothic Book" w:hAnsi="Franklin Gothic Book"/>
          <w:color w:val="333333"/>
          <w:sz w:val="17"/>
          <w:szCs w:val="17"/>
        </w:rPr>
      </w:pPr>
      <w:r>
        <w:rPr>
          <w:rFonts w:ascii="Franklin Gothic Book" w:hAnsi="Franklin Gothic Book"/>
          <w:noProof/>
          <w:color w:val="333333"/>
          <w:sz w:val="17"/>
          <w:szCs w:val="17"/>
        </w:rPr>
        <w:drawing>
          <wp:inline distT="0" distB="0" distL="0" distR="0">
            <wp:extent cx="956945" cy="296545"/>
            <wp:effectExtent l="0" t="0" r="0" b="8255"/>
            <wp:docPr id="1" name="Picture 1" descr="Description: Macintosh HD:Users:brendan.oneill:Desktop:WORK:060412:email_brandmarks:EXC_H_RGB_PS_72dp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brendan.oneill:Desktop:WORK:060412:email_brandmarks:EXC_H_RGB_PS_72dpi-01.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6945" cy="296545"/>
                    </a:xfrm>
                    <a:prstGeom prst="rect">
                      <a:avLst/>
                    </a:prstGeom>
                    <a:noFill/>
                    <a:ln>
                      <a:noFill/>
                    </a:ln>
                  </pic:spPr>
                </pic:pic>
              </a:graphicData>
            </a:graphic>
          </wp:inline>
        </w:drawing>
      </w:r>
    </w:p>
    <w:p>
      <w:pPr>
        <w:rPr>
          <w:rFonts w:ascii="Franklin Gothic Book" w:hAnsi="Franklin Gothic Book"/>
          <w:color w:val="58595B"/>
          <w:sz w:val="17"/>
          <w:szCs w:val="17"/>
        </w:rPr>
      </w:pPr>
      <w:r>
        <w:rPr>
          <w:rFonts w:ascii="Franklin Gothic Book" w:hAnsi="Franklin Gothic Book"/>
          <w:color w:val="58595B"/>
          <w:sz w:val="17"/>
          <w:szCs w:val="17"/>
        </w:rPr>
        <w:t>300 Exelon Way, Kennett Square, PA 19348</w:t>
      </w:r>
    </w:p>
    <w:p>
      <w:pPr>
        <w:pStyle w:val="NormalWeb"/>
      </w:pPr>
      <w:bookmarkStart w:id="1" w:name="_GoBack"/>
      <w:bookmarkEnd w:id="1"/>
      <w:r>
        <w:lastRenderedPageBreak/>
        <w:t>************************************************** This e-mail and any of its attachments may contain Exelon Corporation proprietary information, which is privileged, confidential, or subject to copyright belonging to the Exelon Corporation family of Companies. This e-mail is intended solely for the use of the individual or entity to which it is addressed. If you are not the intended recipient of this e-mail, you are hereby notified that any dissemination, distribution, copying, or action taken in relation to the contents of and attachments to this e-mail is strictly prohibited and may be unlawful. If you have received this e-mail in error, please notify the sender immediately and permanently delete the original and any copy of this e-mail and any printout. Thank You. **************************************************</w:t>
      </w:r>
      <w:bookmarkEnd w:id="0"/>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ListParagraph">
    <w:name w:val="List Paragraph"/>
    <w:basedOn w:val="Normal"/>
    <w:uiPriority w:val="34"/>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5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DEA7A.2651FEF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1</cp:revision>
  <dcterms:created xsi:type="dcterms:W3CDTF">2013-01-04T22:34:00Z</dcterms:created>
  <dcterms:modified xsi:type="dcterms:W3CDTF">2013-01-04T22:40:00Z</dcterms:modified>
</cp:coreProperties>
</file>