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rPr>
          <w:rFonts w:ascii="Tahoma" w:eastAsia="Times New Roman" w:hAnsi="Tahoma" w:cs="Tahoma"/>
          <w:sz w:val="20"/>
          <w:szCs w:val="20"/>
        </w:rPr>
      </w:pPr>
      <w:bookmarkStart w:id="0" w:name="_MailOriginal"/>
      <w:bookmarkStart w:id="1" w:name="_GoBack"/>
      <w:bookmarkEnd w:id="1"/>
      <w:r>
        <w:rPr>
          <w:rFonts w:ascii="Tahoma" w:eastAsia="Times New Roman" w:hAnsi="Tahoma" w:cs="Tahoma"/>
          <w:b/>
          <w:bCs/>
          <w:sz w:val="20"/>
          <w:szCs w:val="20"/>
        </w:rPr>
        <w:t>From:</w:t>
      </w:r>
      <w:r>
        <w:rPr>
          <w:rFonts w:ascii="Tahoma" w:eastAsia="Times New Roman" w:hAnsi="Tahoma" w:cs="Tahoma"/>
          <w:sz w:val="20"/>
          <w:szCs w:val="20"/>
        </w:rPr>
        <w:t xml:space="preserve"> Vance, Andrew – Direct Energy</w:t>
      </w:r>
      <w:r>
        <w:rPr>
          <w:rFonts w:ascii="Tahoma" w:eastAsia="Times New Roman" w:hAnsi="Tahoma" w:cs="Tahoma"/>
          <w:sz w:val="20"/>
          <w:szCs w:val="20"/>
        </w:rPr>
        <w:br/>
      </w:r>
      <w:r>
        <w:rPr>
          <w:rFonts w:ascii="Tahoma" w:eastAsia="Times New Roman" w:hAnsi="Tahoma" w:cs="Tahoma"/>
          <w:b/>
          <w:bCs/>
          <w:sz w:val="20"/>
          <w:szCs w:val="20"/>
        </w:rPr>
        <w:t>Sent:</w:t>
      </w:r>
      <w:r>
        <w:rPr>
          <w:rFonts w:ascii="Tahoma" w:eastAsia="Times New Roman" w:hAnsi="Tahoma" w:cs="Tahoma"/>
          <w:sz w:val="20"/>
          <w:szCs w:val="20"/>
        </w:rPr>
        <w:t xml:space="preserve"> Friday, January 04, 2013 10:45 AM</w:t>
      </w:r>
      <w:r>
        <w:rPr>
          <w:rFonts w:ascii="Tahoma" w:eastAsia="Times New Roman" w:hAnsi="Tahoma" w:cs="Tahoma"/>
          <w:sz w:val="20"/>
          <w:szCs w:val="20"/>
        </w:rPr>
        <w:br/>
      </w:r>
      <w:r>
        <w:rPr>
          <w:rFonts w:ascii="Tahoma" w:eastAsia="Times New Roman" w:hAnsi="Tahoma" w:cs="Tahoma"/>
          <w:b/>
          <w:bCs/>
          <w:sz w:val="20"/>
          <w:szCs w:val="20"/>
        </w:rPr>
        <w:t>To:</w:t>
      </w:r>
      <w:r>
        <w:rPr>
          <w:rFonts w:ascii="Tahoma" w:eastAsia="Times New Roman" w:hAnsi="Tahoma" w:cs="Tahoma"/>
          <w:sz w:val="20"/>
          <w:szCs w:val="20"/>
        </w:rPr>
        <w:t xml:space="preserve"> naesb</w:t>
      </w:r>
      <w:r>
        <w:rPr>
          <w:rFonts w:ascii="Tahoma" w:eastAsia="Times New Roman" w:hAnsi="Tahoma" w:cs="Tahoma"/>
          <w:sz w:val="20"/>
          <w:szCs w:val="20"/>
        </w:rPr>
        <w:br/>
      </w:r>
      <w:r>
        <w:rPr>
          <w:rFonts w:ascii="Tahoma" w:eastAsia="Times New Roman" w:hAnsi="Tahoma" w:cs="Tahoma"/>
          <w:b/>
          <w:bCs/>
          <w:sz w:val="20"/>
          <w:szCs w:val="20"/>
        </w:rPr>
        <w:t>Subject:</w:t>
      </w:r>
      <w:r>
        <w:rPr>
          <w:rFonts w:ascii="Tahoma" w:eastAsia="Times New Roman" w:hAnsi="Tahoma" w:cs="Tahoma"/>
          <w:sz w:val="20"/>
          <w:szCs w:val="20"/>
        </w:rPr>
        <w:t xml:space="preserve"> Comment on Retail Customer Authorization Form</w:t>
      </w:r>
    </w:p>
    <w:p/>
    <w:p>
      <w:pPr>
        <w:rPr>
          <w:rFonts w:ascii="Calibri" w:eastAsia="Times New Roman" w:hAnsi="Calibri"/>
          <w:sz w:val="22"/>
          <w:szCs w:val="22"/>
        </w:rPr>
      </w:pPr>
      <w:r>
        <w:rPr>
          <w:rFonts w:ascii="Calibri" w:eastAsia="Times New Roman" w:hAnsi="Calibri"/>
          <w:sz w:val="22"/>
          <w:szCs w:val="22"/>
        </w:rPr>
        <w:t>Dear Ms. Trum,</w:t>
      </w:r>
    </w:p>
    <w:p>
      <w:pPr>
        <w:rPr>
          <w:rFonts w:ascii="Calibri" w:eastAsia="Times New Roman" w:hAnsi="Calibri"/>
          <w:sz w:val="22"/>
          <w:szCs w:val="22"/>
        </w:rPr>
      </w:pPr>
      <w:r>
        <w:rPr>
          <w:rFonts w:ascii="Calibri" w:eastAsia="Times New Roman" w:hAnsi="Calibri"/>
          <w:sz w:val="22"/>
          <w:szCs w:val="22"/>
        </w:rPr>
        <w:t> </w:t>
      </w:r>
    </w:p>
    <w:p>
      <w:pPr>
        <w:rPr>
          <w:rFonts w:ascii="Calibri" w:eastAsia="Times New Roman" w:hAnsi="Calibri"/>
          <w:sz w:val="22"/>
          <w:szCs w:val="22"/>
        </w:rPr>
      </w:pPr>
      <w:r>
        <w:rPr>
          <w:rFonts w:ascii="Calibri" w:eastAsia="Times New Roman" w:hAnsi="Calibri"/>
          <w:sz w:val="22"/>
          <w:szCs w:val="22"/>
        </w:rPr>
        <w:t>Direct Energy Services submits these comments on the NAESB Retail Request for Comments on the Retail Customer Authorization Form.</w:t>
      </w:r>
    </w:p>
    <w:p>
      <w:pPr>
        <w:rPr>
          <w:rFonts w:ascii="Calibri" w:eastAsia="Times New Roman" w:hAnsi="Calibri"/>
          <w:sz w:val="22"/>
          <w:szCs w:val="22"/>
        </w:rPr>
      </w:pPr>
      <w:r>
        <w:rPr>
          <w:rFonts w:ascii="Consolas" w:eastAsia="Times New Roman" w:hAnsi="Consolas" w:cs="Consolas"/>
          <w:sz w:val="21"/>
          <w:szCs w:val="21"/>
        </w:rPr>
        <w:t> </w:t>
      </w:r>
    </w:p>
    <w:p>
      <w:pPr>
        <w:rPr>
          <w:rFonts w:ascii="Calibri" w:eastAsia="Times New Roman" w:hAnsi="Calibri"/>
          <w:sz w:val="22"/>
          <w:szCs w:val="22"/>
        </w:rPr>
      </w:pPr>
      <w:r>
        <w:rPr>
          <w:rFonts w:ascii="Calibri" w:eastAsia="Times New Roman" w:hAnsi="Calibri"/>
          <w:sz w:val="22"/>
          <w:szCs w:val="22"/>
        </w:rPr>
        <w:t xml:space="preserve">1. The LOA refers to specific time intervals requested for interval data (15 minutes, 30 minutes, 1 </w:t>
      </w:r>
      <w:proofErr w:type="spellStart"/>
      <w:r>
        <w:rPr>
          <w:rFonts w:ascii="Calibri" w:eastAsia="Times New Roman" w:hAnsi="Calibri"/>
          <w:sz w:val="22"/>
          <w:szCs w:val="22"/>
        </w:rPr>
        <w:t>hr</w:t>
      </w:r>
      <w:proofErr w:type="spellEnd"/>
      <w:r>
        <w:rPr>
          <w:rFonts w:ascii="Calibri" w:eastAsia="Times New Roman" w:hAnsi="Calibri"/>
          <w:sz w:val="22"/>
          <w:szCs w:val="22"/>
        </w:rPr>
        <w:t xml:space="preserve">, </w:t>
      </w:r>
      <w:proofErr w:type="spellStart"/>
      <w:r>
        <w:rPr>
          <w:rFonts w:ascii="Calibri" w:eastAsia="Times New Roman" w:hAnsi="Calibri"/>
          <w:sz w:val="22"/>
          <w:szCs w:val="22"/>
        </w:rPr>
        <w:t>etc</w:t>
      </w:r>
      <w:proofErr w:type="spellEnd"/>
      <w:r>
        <w:rPr>
          <w:rFonts w:ascii="Calibri" w:eastAsia="Times New Roman" w:hAnsi="Calibri"/>
          <w:sz w:val="22"/>
          <w:szCs w:val="22"/>
        </w:rPr>
        <w:t>).  However, some customers are not aware of what data granularity is available for their individual accounts.  In most circumstances, suppliers are interested in receiving the most detailed data available on the account from the LDC and would select 15 minute intervals.  However, the concern is if a supplier selects 15 minute intervals on the LOA, but the account only captures 30 minute intervals, the LDC may reject the request and not send the data via the HU request due to the interval data mismatch.  We would want to clarify that no matter what interval time is requested, the LDC would send the most granular data available for the account.</w:t>
      </w:r>
    </w:p>
    <w:p>
      <w:pPr>
        <w:rPr>
          <w:rFonts w:ascii="Calibri" w:eastAsia="Times New Roman" w:hAnsi="Calibri"/>
          <w:sz w:val="22"/>
          <w:szCs w:val="22"/>
        </w:rPr>
      </w:pPr>
      <w:r>
        <w:rPr>
          <w:rFonts w:ascii="Consolas" w:eastAsia="Times New Roman" w:hAnsi="Consolas" w:cs="Consolas"/>
          <w:sz w:val="21"/>
          <w:szCs w:val="21"/>
        </w:rPr>
        <w:t> </w:t>
      </w:r>
    </w:p>
    <w:p>
      <w:pPr>
        <w:rPr>
          <w:rFonts w:ascii="Calibri" w:eastAsia="Times New Roman" w:hAnsi="Calibri"/>
          <w:sz w:val="22"/>
          <w:szCs w:val="22"/>
        </w:rPr>
      </w:pPr>
      <w:r>
        <w:rPr>
          <w:rFonts w:ascii="Calibri" w:eastAsia="Times New Roman" w:hAnsi="Calibri"/>
          <w:sz w:val="22"/>
          <w:szCs w:val="22"/>
        </w:rPr>
        <w:t xml:space="preserve">2. The LOA requires a maximum 30 day turn-around for the LDC to provide historical usage data.  However, many states require HU data turn-around in a much shorter timeframe (3 days in Texas, </w:t>
      </w:r>
      <w:proofErr w:type="spellStart"/>
      <w:r>
        <w:rPr>
          <w:rFonts w:ascii="Calibri" w:eastAsia="Times New Roman" w:hAnsi="Calibri"/>
          <w:sz w:val="22"/>
          <w:szCs w:val="22"/>
        </w:rPr>
        <w:t>etc</w:t>
      </w:r>
      <w:proofErr w:type="spellEnd"/>
      <w:r>
        <w:rPr>
          <w:rFonts w:ascii="Calibri" w:eastAsia="Times New Roman" w:hAnsi="Calibri"/>
          <w:sz w:val="22"/>
          <w:szCs w:val="22"/>
        </w:rPr>
        <w:t xml:space="preserve">). In addition, many EDI-enabled LDCs respond within 24 hours to HU requests.  Since pricing some customers can be dynamic and strict enrollment lead-times exist, suppliers &amp; customers prefer receiving the HU as quickly as possible.   There are two options to resolve this situation:  </w:t>
      </w:r>
    </w:p>
    <w:p>
      <w:pPr>
        <w:rPr>
          <w:rFonts w:ascii="Calibri" w:eastAsia="Times New Roman" w:hAnsi="Calibri"/>
          <w:sz w:val="22"/>
          <w:szCs w:val="22"/>
        </w:rPr>
      </w:pPr>
      <w:r>
        <w:rPr>
          <w:rFonts w:ascii="Calibri" w:eastAsia="Times New Roman" w:hAnsi="Calibri"/>
          <w:sz w:val="22"/>
          <w:szCs w:val="22"/>
        </w:rPr>
        <w:t>        - 1) Standardize HU request LTs across deregulated states (for instance, 3 days for EDI or 5 days in manual markets)</w:t>
      </w:r>
    </w:p>
    <w:p>
      <w:pPr>
        <w:ind w:firstLine="720"/>
        <w:rPr>
          <w:rFonts w:ascii="Calibri" w:eastAsia="Times New Roman" w:hAnsi="Calibri"/>
          <w:sz w:val="22"/>
          <w:szCs w:val="22"/>
        </w:rPr>
      </w:pPr>
      <w:r>
        <w:rPr>
          <w:rFonts w:ascii="Calibri" w:eastAsia="Times New Roman" w:hAnsi="Calibri"/>
          <w:sz w:val="22"/>
          <w:szCs w:val="22"/>
        </w:rPr>
        <w:t>- 2) Create language similar to “LDC must provide response by either within 30 days or state level mandated HU response lead-time whichever is shorter”</w:t>
      </w:r>
    </w:p>
    <w:p>
      <w:pPr>
        <w:rPr>
          <w:rFonts w:ascii="Calibri" w:eastAsia="Times New Roman" w:hAnsi="Calibri"/>
          <w:sz w:val="22"/>
          <w:szCs w:val="22"/>
        </w:rPr>
      </w:pPr>
      <w:r>
        <w:rPr>
          <w:rFonts w:ascii="Consolas" w:eastAsia="Times New Roman" w:hAnsi="Consolas" w:cs="Consolas"/>
          <w:sz w:val="21"/>
          <w:szCs w:val="21"/>
        </w:rPr>
        <w:t> </w:t>
      </w:r>
    </w:p>
    <w:p>
      <w:pPr>
        <w:rPr>
          <w:rFonts w:ascii="Calibri" w:eastAsia="Times New Roman" w:hAnsi="Calibri"/>
          <w:sz w:val="22"/>
          <w:szCs w:val="22"/>
        </w:rPr>
      </w:pPr>
      <w:r>
        <w:rPr>
          <w:rFonts w:ascii="Calibri" w:eastAsia="Times New Roman" w:hAnsi="Calibri"/>
          <w:sz w:val="22"/>
          <w:szCs w:val="22"/>
        </w:rPr>
        <w:t>Thank you for the opportunity to submit these comments.</w:t>
      </w:r>
    </w:p>
    <w:p>
      <w:pPr>
        <w:rPr>
          <w:rFonts w:ascii="Calibri" w:eastAsia="Times New Roman" w:hAnsi="Calibri"/>
          <w:sz w:val="22"/>
          <w:szCs w:val="22"/>
        </w:rPr>
      </w:pPr>
      <w:r>
        <w:rPr>
          <w:rFonts w:ascii="Calibri" w:eastAsia="Times New Roman" w:hAnsi="Calibri"/>
          <w:sz w:val="22"/>
          <w:szCs w:val="22"/>
        </w:rPr>
        <w:t> </w:t>
      </w:r>
    </w:p>
    <w:p>
      <w:pPr>
        <w:rPr>
          <w:rFonts w:ascii="Calibri" w:eastAsia="Times New Roman" w:hAnsi="Calibri"/>
          <w:sz w:val="22"/>
          <w:szCs w:val="22"/>
        </w:rPr>
      </w:pPr>
      <w:r>
        <w:rPr>
          <w:rFonts w:ascii="Calibri" w:eastAsia="Times New Roman" w:hAnsi="Calibri"/>
          <w:sz w:val="22"/>
          <w:szCs w:val="22"/>
        </w:rPr>
        <w:t>Andy</w:t>
      </w:r>
    </w:p>
    <w:p>
      <w:pPr>
        <w:rPr>
          <w:rFonts w:ascii="Calibri" w:eastAsia="Times New Roman" w:hAnsi="Calibri"/>
          <w:sz w:val="22"/>
          <w:szCs w:val="22"/>
        </w:rPr>
      </w:pPr>
      <w:r>
        <w:rPr>
          <w:rFonts w:ascii="Consolas" w:eastAsia="Times New Roman" w:hAnsi="Consolas" w:cs="Consolas"/>
          <w:sz w:val="21"/>
          <w:szCs w:val="21"/>
        </w:rPr>
        <w:t> </w:t>
      </w:r>
    </w:p>
    <w:p>
      <w:pPr>
        <w:rPr>
          <w:rFonts w:ascii="Calibri" w:eastAsia="Times New Roman" w:hAnsi="Calibri"/>
          <w:sz w:val="22"/>
          <w:szCs w:val="22"/>
        </w:rPr>
      </w:pPr>
      <w:r>
        <w:rPr>
          <w:rFonts w:ascii="Arial Black" w:eastAsia="Times New Roman" w:hAnsi="Arial Black"/>
          <w:color w:val="FF6600"/>
          <w:sz w:val="20"/>
          <w:szCs w:val="20"/>
        </w:rPr>
        <w:t>Andy Vance</w:t>
      </w:r>
      <w:r>
        <w:rPr>
          <w:rFonts w:ascii="Arial Black" w:eastAsia="Times New Roman" w:hAnsi="Arial Black"/>
          <w:color w:val="FF6600"/>
          <w:sz w:val="20"/>
          <w:szCs w:val="20"/>
        </w:rPr>
        <w:br/>
      </w:r>
      <w:r>
        <w:rPr>
          <w:rFonts w:ascii="Calibri" w:eastAsia="Times New Roman" w:hAnsi="Calibri"/>
          <w:i/>
          <w:iCs/>
          <w:color w:val="000000"/>
          <w:sz w:val="22"/>
          <w:szCs w:val="22"/>
        </w:rPr>
        <w:t>Utility Operations Manager</w:t>
      </w:r>
      <w:r>
        <w:rPr>
          <w:rFonts w:ascii="Calibri" w:eastAsia="Times New Roman" w:hAnsi="Calibri"/>
          <w:color w:val="000000"/>
          <w:sz w:val="22"/>
          <w:szCs w:val="22"/>
        </w:rPr>
        <w:t xml:space="preserve"> </w:t>
      </w:r>
      <w:r>
        <w:rPr>
          <w:rFonts w:ascii="Calibri" w:eastAsia="Times New Roman" w:hAnsi="Calibri"/>
          <w:color w:val="000000"/>
          <w:sz w:val="22"/>
          <w:szCs w:val="22"/>
        </w:rPr>
        <w:br/>
      </w:r>
      <w:r>
        <w:rPr>
          <w:rFonts w:ascii="Arial" w:eastAsia="Times New Roman" w:hAnsi="Arial" w:cs="Arial"/>
          <w:b/>
          <w:bCs/>
          <w:color w:val="000080"/>
          <w:sz w:val="20"/>
          <w:szCs w:val="20"/>
        </w:rPr>
        <w:t xml:space="preserve">Direct Energy </w:t>
      </w:r>
      <w:r>
        <w:rPr>
          <w:rFonts w:ascii="Arial" w:eastAsia="Times New Roman" w:hAnsi="Arial" w:cs="Arial"/>
          <w:b/>
          <w:bCs/>
          <w:color w:val="000080"/>
          <w:sz w:val="20"/>
          <w:szCs w:val="20"/>
        </w:rPr>
        <w:br/>
      </w:r>
      <w:r>
        <w:rPr>
          <w:rFonts w:ascii="Arial" w:eastAsia="Times New Roman" w:hAnsi="Arial" w:cs="Arial"/>
          <w:color w:val="000000"/>
          <w:sz w:val="20"/>
          <w:szCs w:val="20"/>
        </w:rPr>
        <w:t>1001 Liberty Avenue</w:t>
      </w:r>
      <w:r>
        <w:rPr>
          <w:rFonts w:ascii="Calibri" w:eastAsia="Times New Roman" w:hAnsi="Calibri"/>
          <w:color w:val="000000"/>
          <w:sz w:val="22"/>
          <w:szCs w:val="22"/>
        </w:rPr>
        <w:t xml:space="preserve"> </w:t>
      </w:r>
      <w:r>
        <w:rPr>
          <w:rFonts w:ascii="Calibri" w:eastAsia="Times New Roman" w:hAnsi="Calibri"/>
          <w:color w:val="000000"/>
          <w:sz w:val="22"/>
          <w:szCs w:val="22"/>
        </w:rPr>
        <w:br/>
      </w:r>
      <w:r>
        <w:rPr>
          <w:rFonts w:ascii="Arial" w:eastAsia="Times New Roman" w:hAnsi="Arial" w:cs="Arial"/>
          <w:color w:val="000000"/>
          <w:sz w:val="20"/>
          <w:szCs w:val="20"/>
        </w:rPr>
        <w:t>Pittsburgh, PA 15222</w:t>
      </w:r>
      <w:r>
        <w:rPr>
          <w:rFonts w:ascii="Calibri" w:eastAsia="Times New Roman" w:hAnsi="Calibri"/>
          <w:color w:val="000000"/>
          <w:sz w:val="22"/>
          <w:szCs w:val="22"/>
        </w:rPr>
        <w:t xml:space="preserve"> </w:t>
      </w:r>
      <w:r>
        <w:rPr>
          <w:rFonts w:ascii="Calibri" w:eastAsia="Times New Roman" w:hAnsi="Calibri"/>
          <w:color w:val="000000"/>
          <w:sz w:val="22"/>
          <w:szCs w:val="22"/>
        </w:rPr>
        <w:br/>
      </w:r>
      <w:hyperlink r:id="rId5" w:history="1">
        <w:r>
          <w:rPr>
            <w:rStyle w:val="Hyperlink"/>
            <w:rFonts w:ascii="Arial" w:eastAsia="Times New Roman" w:hAnsi="Arial" w:cs="Arial"/>
            <w:szCs w:val="20"/>
          </w:rPr>
          <w:t>www.directenergybusiness.com</w:t>
        </w:r>
      </w:hyperlink>
      <w:r>
        <w:rPr>
          <w:rFonts w:ascii="Calibri" w:eastAsia="Times New Roman" w:hAnsi="Calibri"/>
          <w:sz w:val="22"/>
          <w:szCs w:val="22"/>
        </w:rPr>
        <w:t xml:space="preserve"> </w:t>
      </w:r>
    </w:p>
    <w:p>
      <w:pPr>
        <w:rPr>
          <w:rFonts w:ascii="Calibri" w:eastAsia="Times New Roman" w:hAnsi="Calibri"/>
          <w:sz w:val="22"/>
          <w:szCs w:val="22"/>
        </w:rPr>
      </w:pPr>
      <w:r>
        <w:rPr>
          <w:rFonts w:ascii="Calibri" w:eastAsia="Times New Roman" w:hAnsi="Calibri"/>
          <w:sz w:val="22"/>
          <w:szCs w:val="22"/>
        </w:rPr>
        <w:t> </w:t>
      </w:r>
      <w:r>
        <w:rPr>
          <w:rFonts w:eastAsia="Times New Roman"/>
        </w:rPr>
        <w:br/>
      </w:r>
      <w:r>
        <w:rPr>
          <w:rFonts w:eastAsia="Times New Roman"/>
          <w:b/>
          <w:bCs/>
          <w:sz w:val="27"/>
          <w:szCs w:val="27"/>
        </w:rPr>
        <w:t>Email Disclaimer</w:t>
      </w:r>
    </w:p>
    <w:p>
      <w:r>
        <w:rPr>
          <w:rFonts w:eastAsia="Times New Roman"/>
        </w:rPr>
        <w:t xml:space="preserve">The information contained in or attached to this email is intended only for the use of the addressee. If you are not the intended recipient of this email, or a person responsible for delivering it to the intended recipient, you are strictly prohibited from disclosing, copying, distributing, or retaining this email or any part of it. It may contain information which is confidential and/or covered by legal, professional or other privilege under applicable law. If you have received this email in error, please notify us immediately by return email. </w:t>
      </w:r>
      <w:r>
        <w:rPr>
          <w:rFonts w:eastAsia="Times New Roman"/>
        </w:rPr>
        <w:br/>
      </w:r>
      <w:r>
        <w:rPr>
          <w:rFonts w:eastAsia="Times New Roman"/>
        </w:rPr>
        <w:br/>
        <w:t xml:space="preserve">The views expressed in this email are not necessarily the views of Centrica </w:t>
      </w:r>
      <w:proofErr w:type="spellStart"/>
      <w:r>
        <w:rPr>
          <w:rFonts w:eastAsia="Times New Roman"/>
        </w:rPr>
        <w:t>plc</w:t>
      </w:r>
      <w:proofErr w:type="spellEnd"/>
      <w:r>
        <w:rPr>
          <w:rFonts w:eastAsia="Times New Roman"/>
        </w:rPr>
        <w:t>, nor its North American subsidiaries, and the said companies and their respective directors, officers and employees make no representation, nor accept any liability, regarding its accuracy or completeness, unless expressly stated to the contrary.</w:t>
      </w:r>
      <w:bookmarkEnd w:id="0"/>
    </w:p>
    <w:sectPr>
      <w:pgSz w:w="12240" w:h="15840"/>
      <w:pgMar w:top="1008" w:right="1440" w:bottom="1008"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10002FF" w:usb1="4000FCFF" w:usb2="00000009" w:usb3="00000000" w:csb0="0000019F" w:csb1="00000000"/>
  </w:font>
  <w:font w:name="Arial Black">
    <w:panose1 w:val="020B0A04020102020204"/>
    <w:charset w:val="00"/>
    <w:family w:val="swiss"/>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0" w:line="240" w:lineRule="auto"/>
    </w:pPr>
    <w:rPr>
      <w:rFonts w:ascii="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0" w:line="240" w:lineRule="auto"/>
    </w:pPr>
    <w:rPr>
      <w:rFonts w:ascii="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78443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www.directenergybusiness.co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440</Words>
  <Characters>2514</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2949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Veronica Thomason</dc:creator>
  <cp:lastModifiedBy>Veronica Thomason</cp:lastModifiedBy>
  <cp:revision>4</cp:revision>
  <dcterms:created xsi:type="dcterms:W3CDTF">2013-01-04T20:30:00Z</dcterms:created>
  <dcterms:modified xsi:type="dcterms:W3CDTF">2013-01-04T22:25:00Z</dcterms:modified>
</cp:coreProperties>
</file>