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18B3E" w14:textId="77777777" w:rsidR="001F4663" w:rsidRPr="001F4663" w:rsidRDefault="001F4663" w:rsidP="00B8170D">
      <w:pPr>
        <w:jc w:val="center"/>
      </w:pPr>
      <w:r>
        <w:t>147 FERC ¶ 61,208</w:t>
      </w:r>
    </w:p>
    <w:p w14:paraId="72718B3F" w14:textId="77777777" w:rsidR="002F7F84" w:rsidRDefault="00067A24" w:rsidP="00B8170D">
      <w:pPr>
        <w:jc w:val="center"/>
      </w:pPr>
      <w:r>
        <w:t>UNITED STATES OF AMERICA</w:t>
      </w:r>
    </w:p>
    <w:p w14:paraId="72718B40" w14:textId="77777777" w:rsidR="002F7F84" w:rsidRDefault="00067A24" w:rsidP="00B8170D">
      <w:pPr>
        <w:jc w:val="center"/>
      </w:pPr>
      <w:r>
        <w:t>FEDERAL ENERGY REGULATORY COMMISSION</w:t>
      </w:r>
    </w:p>
    <w:p w14:paraId="72718B41" w14:textId="77777777" w:rsidR="002F7F84" w:rsidRDefault="002F7F84" w:rsidP="00B8170D">
      <w:pPr>
        <w:jc w:val="center"/>
      </w:pPr>
    </w:p>
    <w:p w14:paraId="72718B42" w14:textId="77777777" w:rsidR="002F7F84" w:rsidRDefault="002F7F84" w:rsidP="00B8170D">
      <w:pPr>
        <w:jc w:val="center"/>
      </w:pPr>
      <w:r>
        <w:t>18 CFR Part 40</w:t>
      </w:r>
    </w:p>
    <w:p w14:paraId="72718B43" w14:textId="77777777" w:rsidR="002F7F84" w:rsidRDefault="002F7F84" w:rsidP="00B8170D">
      <w:pPr>
        <w:jc w:val="center"/>
      </w:pPr>
    </w:p>
    <w:p w14:paraId="72718B44" w14:textId="77777777" w:rsidR="002F7F84" w:rsidRDefault="002F7F84" w:rsidP="00B8170D">
      <w:pPr>
        <w:jc w:val="center"/>
      </w:pPr>
      <w:r>
        <w:rPr>
          <w:szCs w:val="26"/>
        </w:rPr>
        <w:t>[Docket No. RM14-7-000]</w:t>
      </w:r>
    </w:p>
    <w:p w14:paraId="72718B45" w14:textId="77777777" w:rsidR="002F7F84" w:rsidRDefault="002F7F84" w:rsidP="00B8170D">
      <w:pPr>
        <w:jc w:val="center"/>
      </w:pPr>
    </w:p>
    <w:p w14:paraId="72718B46" w14:textId="77777777" w:rsidR="002F7F84" w:rsidRDefault="002F7F84" w:rsidP="00B8170D">
      <w:pPr>
        <w:jc w:val="center"/>
      </w:pPr>
      <w:r w:rsidRPr="002F7F84">
        <w:t>Modeling, Data, and Analysis</w:t>
      </w:r>
      <w:r>
        <w:t xml:space="preserve"> Reliability Standards</w:t>
      </w:r>
    </w:p>
    <w:p w14:paraId="72718B47" w14:textId="77777777" w:rsidR="00067A24" w:rsidRDefault="00067A24" w:rsidP="00B8170D">
      <w:pPr>
        <w:jc w:val="center"/>
      </w:pPr>
    </w:p>
    <w:p w14:paraId="72718B48" w14:textId="77777777" w:rsidR="002F7F84" w:rsidRDefault="001F4663" w:rsidP="001F4663">
      <w:pPr>
        <w:widowControl/>
        <w:jc w:val="center"/>
      </w:pPr>
      <w:r w:rsidRPr="001F4663">
        <w:t>(Issued June 1</w:t>
      </w:r>
      <w:r>
        <w:t>9</w:t>
      </w:r>
      <w:r w:rsidRPr="001F4663">
        <w:t>, 2014)</w:t>
      </w:r>
    </w:p>
    <w:p w14:paraId="72718B49" w14:textId="77777777" w:rsidR="001F4663" w:rsidRPr="001F4663" w:rsidRDefault="001F4663" w:rsidP="001F4663">
      <w:pPr>
        <w:widowControl/>
      </w:pPr>
    </w:p>
    <w:p w14:paraId="72718B4A" w14:textId="77777777" w:rsidR="002F7F84" w:rsidRDefault="002F7F84" w:rsidP="00B8170D">
      <w:pPr>
        <w:spacing w:line="480" w:lineRule="auto"/>
      </w:pPr>
      <w:r>
        <w:rPr>
          <w:u w:val="single"/>
        </w:rPr>
        <w:t>AGENCY</w:t>
      </w:r>
      <w:r>
        <w:t>:  Federal Energy Regulatory Commission.</w:t>
      </w:r>
    </w:p>
    <w:p w14:paraId="72718B4B" w14:textId="77777777" w:rsidR="002F7F84" w:rsidRDefault="002F7F84" w:rsidP="00B8170D">
      <w:pPr>
        <w:spacing w:line="480" w:lineRule="auto"/>
      </w:pPr>
      <w:r>
        <w:rPr>
          <w:u w:val="single"/>
        </w:rPr>
        <w:t>ACTION</w:t>
      </w:r>
      <w:r>
        <w:t xml:space="preserve">:  Notice of </w:t>
      </w:r>
      <w:r w:rsidR="00067A24">
        <w:t>p</w:t>
      </w:r>
      <w:r>
        <w:t xml:space="preserve">roposed </w:t>
      </w:r>
      <w:r w:rsidR="00067A24">
        <w:t>r</w:t>
      </w:r>
      <w:r>
        <w:t>ulemaking.</w:t>
      </w:r>
    </w:p>
    <w:p w14:paraId="72718B4C" w14:textId="77777777" w:rsidR="00B71571" w:rsidRPr="00B71571" w:rsidRDefault="002F7F84" w:rsidP="00B8170D">
      <w:pPr>
        <w:spacing w:line="480" w:lineRule="auto"/>
        <w:rPr>
          <w:szCs w:val="26"/>
        </w:rPr>
      </w:pPr>
      <w:r>
        <w:rPr>
          <w:u w:val="single"/>
        </w:rPr>
        <w:t>SUMMARY</w:t>
      </w:r>
      <w:r>
        <w:t xml:space="preserve">:  </w:t>
      </w:r>
      <w:r w:rsidR="00B71571">
        <w:t xml:space="preserve">Pursuant to </w:t>
      </w:r>
      <w:r w:rsidR="00B71571" w:rsidRPr="00B71571">
        <w:rPr>
          <w:szCs w:val="26"/>
        </w:rPr>
        <w:t xml:space="preserve">section 215 of the Federal Power Act, the Commission proposes to approve </w:t>
      </w:r>
      <w:r w:rsidR="002932F9" w:rsidRPr="00B71571">
        <w:rPr>
          <w:szCs w:val="26"/>
        </w:rPr>
        <w:t>Modeling, Data, and Analysis</w:t>
      </w:r>
      <w:r w:rsidR="002932F9">
        <w:rPr>
          <w:szCs w:val="26"/>
        </w:rPr>
        <w:t xml:space="preserve"> Reliability Standard MOD-001-2</w:t>
      </w:r>
      <w:r w:rsidR="00B71571">
        <w:rPr>
          <w:szCs w:val="26"/>
        </w:rPr>
        <w:t xml:space="preserve"> </w:t>
      </w:r>
      <w:r w:rsidR="00B71571" w:rsidRPr="007E6251">
        <w:rPr>
          <w:szCs w:val="26"/>
        </w:rPr>
        <w:t>developed by the North American Electric Reliability Corporation, which the Commission has certified as the Electric Reliability Organization responsible for developing and enforcing m</w:t>
      </w:r>
      <w:r w:rsidR="00B71571">
        <w:rPr>
          <w:szCs w:val="26"/>
        </w:rPr>
        <w:t>andatory Reliability Standards.</w:t>
      </w:r>
    </w:p>
    <w:p w14:paraId="72718B4D" w14:textId="77777777" w:rsidR="002F7F84" w:rsidRDefault="002F7F84" w:rsidP="00B8170D">
      <w:pPr>
        <w:spacing w:line="480" w:lineRule="auto"/>
      </w:pPr>
      <w:r>
        <w:rPr>
          <w:u w:val="single"/>
        </w:rPr>
        <w:t>DATES</w:t>
      </w:r>
      <w:r>
        <w:t>:  Comments are due</w:t>
      </w:r>
      <w:r>
        <w:rPr>
          <w:b/>
        </w:rPr>
        <w:t xml:space="preserve"> [</w:t>
      </w:r>
      <w:r w:rsidR="008B5EEF" w:rsidRPr="00136FF5">
        <w:t>Insert date</w:t>
      </w:r>
      <w:r w:rsidR="008B5EEF">
        <w:rPr>
          <w:b/>
        </w:rPr>
        <w:t xml:space="preserve"> </w:t>
      </w:r>
      <w:r>
        <w:rPr>
          <w:b/>
        </w:rPr>
        <w:t>60 days after publication in the FEDERAL REGISTER]</w:t>
      </w:r>
    </w:p>
    <w:p w14:paraId="72718B4E" w14:textId="77777777" w:rsidR="002F7F84" w:rsidRDefault="002F7F84" w:rsidP="00B8170D">
      <w:pPr>
        <w:spacing w:line="480" w:lineRule="auto"/>
      </w:pPr>
      <w:r>
        <w:rPr>
          <w:u w:val="single"/>
        </w:rPr>
        <w:t>ADDRESSES</w:t>
      </w:r>
      <w:r>
        <w:t>:  C</w:t>
      </w:r>
      <w:r w:rsidRPr="00062A6A">
        <w:t>omments</w:t>
      </w:r>
      <w:r>
        <w:t>,</w:t>
      </w:r>
      <w:r w:rsidRPr="00062A6A">
        <w:t xml:space="preserve"> identified by docket number</w:t>
      </w:r>
      <w:r>
        <w:t>,</w:t>
      </w:r>
      <w:r w:rsidRPr="00062A6A">
        <w:t xml:space="preserve"> </w:t>
      </w:r>
      <w:r>
        <w:t>may be filed in the following ways:</w:t>
      </w:r>
      <w:r w:rsidRPr="00062A6A">
        <w:t xml:space="preserve"> </w:t>
      </w:r>
    </w:p>
    <w:p w14:paraId="72718B4F" w14:textId="77777777" w:rsidR="002F7F84" w:rsidRDefault="002F7F84" w:rsidP="00B8170D">
      <w:pPr>
        <w:numPr>
          <w:ilvl w:val="0"/>
          <w:numId w:val="26"/>
        </w:numPr>
        <w:spacing w:line="480" w:lineRule="auto"/>
      </w:pPr>
      <w:r>
        <w:t xml:space="preserve">Electronic Filing through </w:t>
      </w:r>
      <w:hyperlink r:id="rId12" w:history="1">
        <w:r w:rsidRPr="00EA18D6">
          <w:rPr>
            <w:rStyle w:val="Hyperlink"/>
            <w:u w:val="none"/>
          </w:rPr>
          <w:t>http://www.ferc.gov</w:t>
        </w:r>
      </w:hyperlink>
      <w:r>
        <w:t xml:space="preserve">.  </w:t>
      </w:r>
      <w:r w:rsidRPr="00062A6A">
        <w:t>Documents created electronically using word processing software should be filed in native applications or print-to-PDF format and not in a scanned format.</w:t>
      </w:r>
    </w:p>
    <w:p w14:paraId="72718B50" w14:textId="77777777" w:rsidR="002F7F84" w:rsidRDefault="002F7F84" w:rsidP="00B8170D">
      <w:pPr>
        <w:numPr>
          <w:ilvl w:val="0"/>
          <w:numId w:val="26"/>
        </w:numPr>
        <w:spacing w:line="480" w:lineRule="auto"/>
      </w:pPr>
      <w:r>
        <w:t xml:space="preserve">Mail/Hand Delivery:  Those unable to file electronically may mail or hand-deliver comments to: Federal Energy Regulatory Commission, Secretary of the </w:t>
      </w:r>
      <w:r>
        <w:lastRenderedPageBreak/>
        <w:t>Commission, 888 First Street, NE, Washington, DC 20426.</w:t>
      </w:r>
    </w:p>
    <w:p w14:paraId="72718B51" w14:textId="77777777" w:rsidR="002F7F84" w:rsidRPr="007973E8" w:rsidRDefault="002F7F84" w:rsidP="00B8170D">
      <w:r w:rsidRPr="00593749">
        <w:rPr>
          <w:i/>
        </w:rPr>
        <w:t>Instructions</w:t>
      </w:r>
      <w:r w:rsidRPr="00593749">
        <w:t>: For detailed instructions on submitting comments and additional information on the rulemaking process,</w:t>
      </w:r>
      <w:r>
        <w:t xml:space="preserve"> see the Comment Procedures Section of this document</w:t>
      </w:r>
    </w:p>
    <w:p w14:paraId="72718B52" w14:textId="77777777" w:rsidR="002F7F84" w:rsidRDefault="002F7F84" w:rsidP="00B8170D"/>
    <w:p w14:paraId="72718B53" w14:textId="77777777" w:rsidR="002F7F84" w:rsidRDefault="002F7F84" w:rsidP="00B8170D">
      <w:r>
        <w:rPr>
          <w:u w:val="single"/>
        </w:rPr>
        <w:t>FOR FURTHER INFORMATION CONTACT</w:t>
      </w:r>
      <w:r>
        <w:t>:</w:t>
      </w:r>
    </w:p>
    <w:p w14:paraId="72718B54" w14:textId="77777777" w:rsidR="002F7F84" w:rsidRDefault="002F7F84" w:rsidP="00B8170D"/>
    <w:p w14:paraId="72718B55" w14:textId="77777777" w:rsidR="00067A24" w:rsidRDefault="00067A24" w:rsidP="00067A24">
      <w:pPr>
        <w:rPr>
          <w:szCs w:val="26"/>
        </w:rPr>
      </w:pPr>
      <w:r>
        <w:rPr>
          <w:szCs w:val="26"/>
        </w:rPr>
        <w:t>Michael Gandolfo (Technical Information)</w:t>
      </w:r>
    </w:p>
    <w:p w14:paraId="72718B56" w14:textId="77777777" w:rsidR="00067A24" w:rsidRDefault="00067A24" w:rsidP="00067A24">
      <w:pPr>
        <w:rPr>
          <w:szCs w:val="26"/>
        </w:rPr>
      </w:pPr>
      <w:r>
        <w:rPr>
          <w:szCs w:val="26"/>
        </w:rPr>
        <w:t>Office of Electric Reliability</w:t>
      </w:r>
    </w:p>
    <w:p w14:paraId="72718B57" w14:textId="77777777" w:rsidR="00067A24" w:rsidRDefault="00067A24" w:rsidP="00067A24">
      <w:pPr>
        <w:rPr>
          <w:szCs w:val="26"/>
        </w:rPr>
      </w:pPr>
      <w:r>
        <w:rPr>
          <w:szCs w:val="26"/>
        </w:rPr>
        <w:t>Federal Energy Regulatory Commission</w:t>
      </w:r>
    </w:p>
    <w:p w14:paraId="72718B58" w14:textId="77777777" w:rsidR="00067A24" w:rsidRDefault="00067A24" w:rsidP="00067A24">
      <w:pPr>
        <w:rPr>
          <w:szCs w:val="26"/>
        </w:rPr>
      </w:pPr>
      <w:r>
        <w:rPr>
          <w:szCs w:val="26"/>
        </w:rPr>
        <w:t>888 First Street, NE</w:t>
      </w:r>
    </w:p>
    <w:p w14:paraId="72718B59" w14:textId="77777777" w:rsidR="00067A24" w:rsidRDefault="00067A24" w:rsidP="00067A24">
      <w:pPr>
        <w:rPr>
          <w:szCs w:val="26"/>
        </w:rPr>
      </w:pPr>
      <w:r>
        <w:rPr>
          <w:szCs w:val="26"/>
        </w:rPr>
        <w:t>Washington, DC  20426</w:t>
      </w:r>
    </w:p>
    <w:p w14:paraId="72718B5A" w14:textId="77777777" w:rsidR="00067A24" w:rsidRDefault="00067A24" w:rsidP="00067A24">
      <w:pPr>
        <w:rPr>
          <w:szCs w:val="26"/>
        </w:rPr>
      </w:pPr>
      <w:r>
        <w:rPr>
          <w:szCs w:val="26"/>
        </w:rPr>
        <w:t>Telephone:  (202) 502-6817</w:t>
      </w:r>
    </w:p>
    <w:p w14:paraId="72718B5B" w14:textId="77777777" w:rsidR="00067A24" w:rsidRPr="00EF419A" w:rsidRDefault="00762088" w:rsidP="00067A24">
      <w:pPr>
        <w:rPr>
          <w:szCs w:val="26"/>
        </w:rPr>
      </w:pPr>
      <w:hyperlink r:id="rId13" w:history="1">
        <w:r w:rsidR="00067A24" w:rsidRPr="00EF419A">
          <w:rPr>
            <w:rStyle w:val="Hyperlink"/>
            <w:u w:val="none"/>
          </w:rPr>
          <w:t>Michael.Gandolfo@ferc.gov</w:t>
        </w:r>
      </w:hyperlink>
    </w:p>
    <w:p w14:paraId="72718B5C" w14:textId="77777777" w:rsidR="00067A24" w:rsidRDefault="00067A24" w:rsidP="00067A24">
      <w:pPr>
        <w:rPr>
          <w:szCs w:val="26"/>
        </w:rPr>
      </w:pPr>
    </w:p>
    <w:p w14:paraId="72718B5D" w14:textId="77777777" w:rsidR="00067A24" w:rsidRDefault="00067A24" w:rsidP="00067A24">
      <w:pPr>
        <w:keepNext/>
        <w:keepLines/>
        <w:rPr>
          <w:szCs w:val="26"/>
        </w:rPr>
      </w:pPr>
      <w:r>
        <w:rPr>
          <w:szCs w:val="26"/>
        </w:rPr>
        <w:t>Robert T. Stroh (Legal Information)</w:t>
      </w:r>
    </w:p>
    <w:p w14:paraId="72718B5E" w14:textId="77777777" w:rsidR="00067A24" w:rsidRDefault="00067A24" w:rsidP="00067A24">
      <w:pPr>
        <w:keepNext/>
        <w:keepLines/>
        <w:rPr>
          <w:szCs w:val="26"/>
        </w:rPr>
      </w:pPr>
      <w:r>
        <w:rPr>
          <w:szCs w:val="26"/>
        </w:rPr>
        <w:t>Office of the General Counsel</w:t>
      </w:r>
    </w:p>
    <w:p w14:paraId="72718B5F" w14:textId="77777777" w:rsidR="00067A24" w:rsidRDefault="00067A24" w:rsidP="00067A24">
      <w:pPr>
        <w:keepNext/>
        <w:keepLines/>
        <w:rPr>
          <w:szCs w:val="26"/>
        </w:rPr>
      </w:pPr>
      <w:r>
        <w:rPr>
          <w:szCs w:val="26"/>
        </w:rPr>
        <w:t>Federal Energy Regulatory Commission</w:t>
      </w:r>
    </w:p>
    <w:p w14:paraId="72718B60" w14:textId="77777777" w:rsidR="00067A24" w:rsidRDefault="00067A24" w:rsidP="00067A24">
      <w:pPr>
        <w:keepNext/>
        <w:keepLines/>
        <w:rPr>
          <w:szCs w:val="26"/>
        </w:rPr>
      </w:pPr>
      <w:r>
        <w:rPr>
          <w:szCs w:val="26"/>
        </w:rPr>
        <w:t>888 First Street, NE</w:t>
      </w:r>
    </w:p>
    <w:p w14:paraId="72718B61" w14:textId="77777777" w:rsidR="00067A24" w:rsidRDefault="00067A24" w:rsidP="00067A24">
      <w:pPr>
        <w:keepNext/>
        <w:keepLines/>
        <w:rPr>
          <w:szCs w:val="26"/>
        </w:rPr>
      </w:pPr>
      <w:r>
        <w:rPr>
          <w:szCs w:val="26"/>
        </w:rPr>
        <w:t>Washington, DC  20426</w:t>
      </w:r>
    </w:p>
    <w:p w14:paraId="72718B62" w14:textId="77777777" w:rsidR="00067A24" w:rsidRDefault="00067A24" w:rsidP="00067A24">
      <w:pPr>
        <w:rPr>
          <w:szCs w:val="26"/>
        </w:rPr>
      </w:pPr>
      <w:r>
        <w:rPr>
          <w:szCs w:val="26"/>
        </w:rPr>
        <w:t>Telephone:  (202) 502-8473</w:t>
      </w:r>
    </w:p>
    <w:p w14:paraId="72718B63" w14:textId="77777777" w:rsidR="00067A24" w:rsidRPr="00EF419A" w:rsidRDefault="00762088" w:rsidP="00067A24">
      <w:pPr>
        <w:rPr>
          <w:szCs w:val="26"/>
        </w:rPr>
      </w:pPr>
      <w:hyperlink r:id="rId14" w:history="1">
        <w:r w:rsidR="00067A24" w:rsidRPr="00EF419A">
          <w:rPr>
            <w:rStyle w:val="Hyperlink"/>
            <w:u w:val="none"/>
          </w:rPr>
          <w:t>Robert.Stroh@ferc.gov</w:t>
        </w:r>
      </w:hyperlink>
    </w:p>
    <w:p w14:paraId="72718B64" w14:textId="77777777" w:rsidR="002F7F84" w:rsidRDefault="002F7F84" w:rsidP="00B8170D"/>
    <w:p w14:paraId="72718B65" w14:textId="77777777" w:rsidR="002F7F84" w:rsidRDefault="002F7F84" w:rsidP="00B8170D">
      <w:pPr>
        <w:sectPr w:rsidR="002F7F84" w:rsidSect="002F7F84">
          <w:headerReference w:type="even" r:id="rId15"/>
          <w:pgSz w:w="12240" w:h="15840"/>
          <w:pgMar w:top="1440" w:right="1440" w:bottom="1440" w:left="1440" w:header="720" w:footer="1440" w:gutter="0"/>
          <w:pgNumType w:fmt="numberInDash" w:start="1"/>
          <w:cols w:space="720"/>
          <w:noEndnote/>
          <w:titlePg/>
          <w:docGrid w:linePitch="354"/>
        </w:sectPr>
      </w:pPr>
      <w:r>
        <w:rPr>
          <w:u w:val="single"/>
        </w:rPr>
        <w:t>SUPPLEMENTARY INFORMATION</w:t>
      </w:r>
      <w:r>
        <w:t>:</w:t>
      </w:r>
    </w:p>
    <w:p w14:paraId="72718B66" w14:textId="77777777" w:rsidR="00207E9C" w:rsidRPr="00207E9C" w:rsidRDefault="00207E9C" w:rsidP="00B8170D">
      <w:pPr>
        <w:jc w:val="center"/>
      </w:pPr>
      <w:r>
        <w:lastRenderedPageBreak/>
        <w:t>147 FERC ¶ 61,208</w:t>
      </w:r>
    </w:p>
    <w:p w14:paraId="72718B67" w14:textId="77777777" w:rsidR="002F7F84" w:rsidRDefault="002F7F84" w:rsidP="00B8170D">
      <w:pPr>
        <w:jc w:val="center"/>
      </w:pPr>
      <w:r w:rsidRPr="00C10EF5">
        <w:t>UNITED</w:t>
      </w:r>
      <w:r>
        <w:t xml:space="preserve"> STATES OF AMERICA</w:t>
      </w:r>
    </w:p>
    <w:p w14:paraId="72718B68" w14:textId="77777777" w:rsidR="002F7F84" w:rsidRDefault="002F7F84" w:rsidP="00B8170D">
      <w:pPr>
        <w:jc w:val="center"/>
      </w:pPr>
      <w:r>
        <w:t>FEDERAL ENERGY REGULATORY COMMISSION</w:t>
      </w:r>
    </w:p>
    <w:p w14:paraId="72718B69" w14:textId="77777777" w:rsidR="002F7F84" w:rsidRDefault="002F7F84" w:rsidP="00B8170D"/>
    <w:p w14:paraId="72718B6A" w14:textId="77777777" w:rsidR="00E21ACF" w:rsidRDefault="00E21ACF" w:rsidP="00B817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1"/>
        <w:gridCol w:w="1534"/>
        <w:gridCol w:w="1895"/>
      </w:tblGrid>
      <w:tr w:rsidR="002F7F84" w14:paraId="72718B6F" w14:textId="77777777" w:rsidTr="00B33C92">
        <w:tc>
          <w:tcPr>
            <w:tcW w:w="5931" w:type="dxa"/>
            <w:shd w:val="clear" w:color="auto" w:fill="auto"/>
          </w:tcPr>
          <w:p w14:paraId="72718B6B" w14:textId="77777777" w:rsidR="00B33C92" w:rsidRDefault="00B33C92" w:rsidP="00067A24">
            <w:pPr>
              <w:jc w:val="center"/>
            </w:pPr>
          </w:p>
          <w:p w14:paraId="72718B6C" w14:textId="77777777" w:rsidR="002F7F84" w:rsidRDefault="00067A24" w:rsidP="00067A24">
            <w:pPr>
              <w:jc w:val="center"/>
            </w:pPr>
            <w:r w:rsidRPr="002F7F84">
              <w:t>Modeling, Data, and Analysis</w:t>
            </w:r>
            <w:r>
              <w:t xml:space="preserve"> Reliability Standards</w:t>
            </w:r>
          </w:p>
        </w:tc>
        <w:tc>
          <w:tcPr>
            <w:tcW w:w="1534" w:type="dxa"/>
            <w:shd w:val="clear" w:color="auto" w:fill="auto"/>
          </w:tcPr>
          <w:p w14:paraId="72718B6D" w14:textId="77777777" w:rsidR="002F7F84" w:rsidRDefault="00067A24" w:rsidP="00B8170D">
            <w:pPr>
              <w:jc w:val="right"/>
            </w:pPr>
            <w:r>
              <w:t>Docket No.</w:t>
            </w:r>
          </w:p>
        </w:tc>
        <w:tc>
          <w:tcPr>
            <w:tcW w:w="1895" w:type="dxa"/>
            <w:shd w:val="clear" w:color="auto" w:fill="auto"/>
            <w:tcMar>
              <w:left w:w="144" w:type="dxa"/>
              <w:right w:w="0" w:type="dxa"/>
            </w:tcMar>
          </w:tcPr>
          <w:p w14:paraId="72718B6E" w14:textId="77777777" w:rsidR="002F7F84" w:rsidRDefault="00067A24" w:rsidP="00B8170D">
            <w:r>
              <w:t>RM14-7-000</w:t>
            </w:r>
          </w:p>
        </w:tc>
      </w:tr>
    </w:tbl>
    <w:p w14:paraId="72718B70" w14:textId="77777777" w:rsidR="002F7F84" w:rsidRDefault="002F7F84" w:rsidP="00B8170D"/>
    <w:p w14:paraId="72718B71" w14:textId="77777777" w:rsidR="002F7F84" w:rsidRDefault="002F7F84" w:rsidP="00B8170D"/>
    <w:p w14:paraId="72718B72" w14:textId="77777777" w:rsidR="002F7F84" w:rsidRDefault="002F7F84" w:rsidP="00B8170D">
      <w:pPr>
        <w:jc w:val="center"/>
      </w:pPr>
      <w:r>
        <w:t>NOTICE OF PROPOSED RULEMAKING</w:t>
      </w:r>
    </w:p>
    <w:p w14:paraId="72718B73" w14:textId="77777777" w:rsidR="00067A24" w:rsidRDefault="00067A24" w:rsidP="00B8170D"/>
    <w:p w14:paraId="72718B74" w14:textId="77777777" w:rsidR="00207E9C" w:rsidRDefault="00207E9C" w:rsidP="00207E9C">
      <w:pPr>
        <w:widowControl/>
        <w:jc w:val="center"/>
      </w:pPr>
      <w:r w:rsidRPr="00207E9C">
        <w:t>(Issued June 1</w:t>
      </w:r>
      <w:r>
        <w:t>9</w:t>
      </w:r>
      <w:r w:rsidRPr="00207E9C">
        <w:t>, 2014)</w:t>
      </w:r>
    </w:p>
    <w:p w14:paraId="72718B75" w14:textId="77777777" w:rsidR="00E21ACF" w:rsidRDefault="00E21ACF" w:rsidP="00207E9C">
      <w:pPr>
        <w:widowControl/>
        <w:jc w:val="center"/>
      </w:pPr>
    </w:p>
    <w:p w14:paraId="72718B76" w14:textId="77777777" w:rsidR="00207E9C" w:rsidRPr="00207E9C" w:rsidRDefault="00207E9C" w:rsidP="00207E9C">
      <w:pPr>
        <w:widowControl/>
      </w:pPr>
    </w:p>
    <w:p w14:paraId="72718B77" w14:textId="77777777" w:rsidR="00426BE9" w:rsidRPr="006721A8" w:rsidRDefault="00B71571" w:rsidP="006721A8">
      <w:pPr>
        <w:pStyle w:val="FERCparanumber"/>
        <w:rPr>
          <w:szCs w:val="26"/>
        </w:rPr>
      </w:pPr>
      <w:r w:rsidRPr="007B2B1C">
        <w:rPr>
          <w:szCs w:val="26"/>
        </w:rPr>
        <w:t>Pursuant to section 215(d) of the Federal Power Act (FPA),</w:t>
      </w:r>
      <w:r w:rsidRPr="007E6251">
        <w:rPr>
          <w:rStyle w:val="FootnoteReference"/>
        </w:rPr>
        <w:footnoteReference w:id="1"/>
      </w:r>
      <w:r w:rsidRPr="007B2B1C">
        <w:rPr>
          <w:szCs w:val="26"/>
        </w:rPr>
        <w:t xml:space="preserve"> the Commission proposes to approve Reliability Standard MOD-001-2 (Modeling, Data, and Analysis) developed by the North American Electric Reliability Corporation (NERC), which the Commission has certified as the Electric Reliability Organization (ERO) responsible for developing and enforcing mandatory Reliability Standards.  </w:t>
      </w:r>
      <w:r w:rsidR="007B2B1C" w:rsidRPr="007B2B1C">
        <w:rPr>
          <w:szCs w:val="26"/>
        </w:rPr>
        <w:t xml:space="preserve">Reliability Standard MOD-001-2 addresses the reliability issues associated with determinations of </w:t>
      </w:r>
      <w:r w:rsidR="001A7D94">
        <w:rPr>
          <w:szCs w:val="26"/>
        </w:rPr>
        <w:t>a</w:t>
      </w:r>
      <w:r w:rsidR="007B2B1C" w:rsidRPr="007B2B1C">
        <w:rPr>
          <w:szCs w:val="26"/>
        </w:rPr>
        <w:t xml:space="preserve">vailable </w:t>
      </w:r>
      <w:r w:rsidR="001A7D94">
        <w:rPr>
          <w:szCs w:val="26"/>
        </w:rPr>
        <w:t>t</w:t>
      </w:r>
      <w:r w:rsidR="007B2B1C" w:rsidRPr="007B2B1C">
        <w:rPr>
          <w:szCs w:val="26"/>
        </w:rPr>
        <w:t xml:space="preserve">ransfer </w:t>
      </w:r>
      <w:r w:rsidR="001A7D94">
        <w:rPr>
          <w:szCs w:val="26"/>
        </w:rPr>
        <w:t>c</w:t>
      </w:r>
      <w:r w:rsidR="007B2B1C" w:rsidRPr="007B2B1C">
        <w:rPr>
          <w:szCs w:val="26"/>
        </w:rPr>
        <w:t xml:space="preserve">apability (ATC) and </w:t>
      </w:r>
      <w:r w:rsidR="001A7D94">
        <w:rPr>
          <w:szCs w:val="26"/>
        </w:rPr>
        <w:t>a</w:t>
      </w:r>
      <w:r w:rsidR="007B2B1C" w:rsidRPr="007B2B1C">
        <w:rPr>
          <w:szCs w:val="26"/>
        </w:rPr>
        <w:t xml:space="preserve">vailable </w:t>
      </w:r>
      <w:r w:rsidR="001A7D94">
        <w:rPr>
          <w:szCs w:val="26"/>
        </w:rPr>
        <w:t>f</w:t>
      </w:r>
      <w:r w:rsidR="007B2B1C" w:rsidRPr="007B2B1C">
        <w:rPr>
          <w:szCs w:val="26"/>
        </w:rPr>
        <w:t xml:space="preserve">lowgate </w:t>
      </w:r>
      <w:r w:rsidR="001A7D94">
        <w:rPr>
          <w:szCs w:val="26"/>
        </w:rPr>
        <w:t>c</w:t>
      </w:r>
      <w:r w:rsidR="007B2B1C" w:rsidRPr="007B2B1C">
        <w:rPr>
          <w:szCs w:val="26"/>
        </w:rPr>
        <w:t>apability (AFC).</w:t>
      </w:r>
      <w:r w:rsidR="006721A8">
        <w:rPr>
          <w:szCs w:val="26"/>
        </w:rPr>
        <w:t xml:space="preserve">  </w:t>
      </w:r>
      <w:r w:rsidRPr="006721A8">
        <w:rPr>
          <w:szCs w:val="26"/>
        </w:rPr>
        <w:t xml:space="preserve">The Commission also proposes to approve </w:t>
      </w:r>
      <w:r w:rsidR="0090724A">
        <w:rPr>
          <w:szCs w:val="26"/>
        </w:rPr>
        <w:t>the</w:t>
      </w:r>
      <w:r w:rsidR="0090724A">
        <w:t xml:space="preserve"> associated violation risk factors and violation severity levels</w:t>
      </w:r>
      <w:r w:rsidR="0090724A" w:rsidRPr="006721A8">
        <w:rPr>
          <w:szCs w:val="26"/>
        </w:rPr>
        <w:t xml:space="preserve"> </w:t>
      </w:r>
      <w:r w:rsidR="00FC21D5">
        <w:rPr>
          <w:szCs w:val="26"/>
        </w:rPr>
        <w:t xml:space="preserve">and </w:t>
      </w:r>
      <w:r w:rsidRPr="006721A8">
        <w:rPr>
          <w:szCs w:val="26"/>
        </w:rPr>
        <w:t>NERC’s proposed retirement of the currently effective Reliability Standards MOD-001-1a, MOD-004-1, MOD-008-1, MOD-028-2, MOD-029-1a</w:t>
      </w:r>
      <w:r w:rsidR="0090724A">
        <w:rPr>
          <w:szCs w:val="26"/>
        </w:rPr>
        <w:t>,</w:t>
      </w:r>
      <w:r w:rsidRPr="006721A8">
        <w:rPr>
          <w:szCs w:val="26"/>
        </w:rPr>
        <w:t xml:space="preserve"> and MOD-030-2.  </w:t>
      </w:r>
    </w:p>
    <w:p w14:paraId="72718B78" w14:textId="77777777" w:rsidR="002F7F84" w:rsidRDefault="002F7F84" w:rsidP="009940E7">
      <w:pPr>
        <w:pStyle w:val="Heading1"/>
      </w:pPr>
      <w:r>
        <w:t>Background</w:t>
      </w:r>
    </w:p>
    <w:p w14:paraId="72718B79" w14:textId="77777777" w:rsidR="00457BB5" w:rsidRPr="00A06C97" w:rsidRDefault="00457BB5" w:rsidP="00457BB5">
      <w:pPr>
        <w:pStyle w:val="FERCparanumber"/>
      </w:pPr>
      <w:r w:rsidRPr="009940E7">
        <w:t xml:space="preserve">Section 215 of the FPA requires a Commission-certified ERO to develop mandatory and enforceable Reliability Standards, which are subject to Commission </w:t>
      </w:r>
      <w:r w:rsidRPr="009940E7">
        <w:lastRenderedPageBreak/>
        <w:t xml:space="preserve">review and approval.  Once approved, the Reliability Standards are enforced by the ERO, subject to Commission oversight, or by the Commission independently.  </w:t>
      </w:r>
    </w:p>
    <w:p w14:paraId="72718B7A" w14:textId="77777777" w:rsidR="00D9302C" w:rsidRPr="00D9302C" w:rsidRDefault="00D9302C" w:rsidP="00D9302C">
      <w:pPr>
        <w:pStyle w:val="FERCparanumber"/>
        <w:numPr>
          <w:ilvl w:val="0"/>
          <w:numId w:val="0"/>
        </w:numPr>
        <w:rPr>
          <w:b/>
          <w:u w:val="single"/>
        </w:rPr>
      </w:pPr>
      <w:r>
        <w:tab/>
      </w:r>
      <w:r w:rsidRPr="00D9302C">
        <w:rPr>
          <w:b/>
          <w:u w:val="single"/>
        </w:rPr>
        <w:t>Development of</w:t>
      </w:r>
      <w:r w:rsidR="006721A8">
        <w:rPr>
          <w:b/>
          <w:u w:val="single"/>
        </w:rPr>
        <w:t xml:space="preserve"> ATC and AFC</w:t>
      </w:r>
      <w:r w:rsidR="00FB127D">
        <w:rPr>
          <w:b/>
          <w:u w:val="single"/>
        </w:rPr>
        <w:t xml:space="preserve"> </w:t>
      </w:r>
      <w:r w:rsidRPr="00D9302C">
        <w:rPr>
          <w:b/>
          <w:u w:val="single"/>
        </w:rPr>
        <w:t xml:space="preserve">in Order </w:t>
      </w:r>
      <w:r w:rsidR="008B3E62" w:rsidRPr="00D9302C">
        <w:rPr>
          <w:b/>
          <w:u w:val="single"/>
        </w:rPr>
        <w:t>Nos</w:t>
      </w:r>
      <w:r w:rsidR="008B3E62">
        <w:rPr>
          <w:b/>
          <w:u w:val="single"/>
        </w:rPr>
        <w:t>.</w:t>
      </w:r>
      <w:r w:rsidRPr="00D9302C">
        <w:rPr>
          <w:b/>
          <w:u w:val="single"/>
        </w:rPr>
        <w:t xml:space="preserve"> 888, 889 and 890</w:t>
      </w:r>
    </w:p>
    <w:p w14:paraId="72718B7B" w14:textId="77777777" w:rsidR="00FB6285" w:rsidRPr="00D9302C" w:rsidRDefault="00D9302C" w:rsidP="00D9302C">
      <w:pPr>
        <w:pStyle w:val="FERCparanumber"/>
      </w:pPr>
      <w:r>
        <w:rPr>
          <w:szCs w:val="26"/>
        </w:rPr>
        <w:t xml:space="preserve">NERC developed </w:t>
      </w:r>
      <w:r w:rsidR="00FB6285" w:rsidRPr="00FB6285">
        <w:rPr>
          <w:szCs w:val="26"/>
        </w:rPr>
        <w:t>the currently-effective Reliability Standards MOD-001-1a, MOD-004-1, MOD-008-1, MOD-028-2, MOD-029-1a</w:t>
      </w:r>
      <w:r w:rsidR="0090724A">
        <w:rPr>
          <w:szCs w:val="26"/>
        </w:rPr>
        <w:t>,</w:t>
      </w:r>
      <w:r w:rsidR="00FB6285" w:rsidRPr="00FB6285">
        <w:rPr>
          <w:szCs w:val="26"/>
        </w:rPr>
        <w:t xml:space="preserve"> and MOD-030-2 (Existing MOD A Standards) </w:t>
      </w:r>
      <w:r>
        <w:rPr>
          <w:szCs w:val="26"/>
        </w:rPr>
        <w:t xml:space="preserve">based on </w:t>
      </w:r>
      <w:r w:rsidR="00FB6285" w:rsidRPr="00FB6285">
        <w:rPr>
          <w:szCs w:val="26"/>
        </w:rPr>
        <w:t xml:space="preserve">the obligation for </w:t>
      </w:r>
      <w:r w:rsidR="00FB6285">
        <w:rPr>
          <w:szCs w:val="26"/>
        </w:rPr>
        <w:t>t</w:t>
      </w:r>
      <w:r w:rsidR="00FB6285" w:rsidRPr="00FB6285">
        <w:rPr>
          <w:szCs w:val="26"/>
        </w:rPr>
        <w:t xml:space="preserve">ransmission </w:t>
      </w:r>
      <w:r w:rsidR="00FB6285">
        <w:rPr>
          <w:szCs w:val="26"/>
        </w:rPr>
        <w:t>s</w:t>
      </w:r>
      <w:r w:rsidR="00FB6285" w:rsidRPr="00FB6285">
        <w:rPr>
          <w:szCs w:val="26"/>
        </w:rPr>
        <w:t xml:space="preserve">ervice </w:t>
      </w:r>
      <w:r w:rsidR="00FB6285">
        <w:rPr>
          <w:szCs w:val="26"/>
        </w:rPr>
        <w:t>p</w:t>
      </w:r>
      <w:r w:rsidR="00FB6285" w:rsidRPr="00FB6285">
        <w:rPr>
          <w:szCs w:val="26"/>
        </w:rPr>
        <w:t>roviders to determine ATC and AFC</w:t>
      </w:r>
      <w:r w:rsidR="00FB6285">
        <w:rPr>
          <w:szCs w:val="26"/>
        </w:rPr>
        <w:t xml:space="preserve">, </w:t>
      </w:r>
      <w:r>
        <w:rPr>
          <w:szCs w:val="26"/>
        </w:rPr>
        <w:t xml:space="preserve">as those terms were </w:t>
      </w:r>
      <w:r w:rsidR="00FB6285">
        <w:t>introduced in Order Nos. 888</w:t>
      </w:r>
      <w:r w:rsidR="00FB6285" w:rsidRPr="00FB6285">
        <w:rPr>
          <w:sz w:val="16"/>
          <w:szCs w:val="16"/>
        </w:rPr>
        <w:t xml:space="preserve"> </w:t>
      </w:r>
      <w:r w:rsidR="00FB6285">
        <w:t>and 889.</w:t>
      </w:r>
      <w:r w:rsidR="00E6761B">
        <w:rPr>
          <w:rStyle w:val="FootnoteReference"/>
        </w:rPr>
        <w:footnoteReference w:id="2"/>
      </w:r>
      <w:r w:rsidR="00FB6285" w:rsidRPr="007B2B1C">
        <w:rPr>
          <w:szCs w:val="26"/>
        </w:rPr>
        <w:t xml:space="preserve">  </w:t>
      </w:r>
      <w:r w:rsidR="00FB6285">
        <w:t>Although Order Nos. 888 and 889 obligated each public utility to calculate and post ATC, formal methods for calculating ATC or AFC did not exist, nor did the Commission mandate the use of specific methodologies.</w:t>
      </w:r>
    </w:p>
    <w:p w14:paraId="72718B7C" w14:textId="77777777" w:rsidR="00A06C97" w:rsidRPr="009940E7" w:rsidRDefault="00FB6285" w:rsidP="00A06C97">
      <w:pPr>
        <w:pStyle w:val="FERCparanumber"/>
      </w:pPr>
      <w:r>
        <w:t xml:space="preserve">In February 2007 the Commission issued Order No. 890 </w:t>
      </w:r>
      <w:r w:rsidR="001A7D94">
        <w:t>and, a</w:t>
      </w:r>
      <w:r>
        <w:t>mong other things, sought to standardize the manner in which ATC/AFC</w:t>
      </w:r>
      <w:r w:rsidR="00BE61E5">
        <w:t xml:space="preserve"> </w:t>
      </w:r>
      <w:r>
        <w:t>was calculated</w:t>
      </w:r>
      <w:r w:rsidR="00C354EA">
        <w:t>.</w:t>
      </w:r>
      <w:r w:rsidR="00457BB5">
        <w:rPr>
          <w:rStyle w:val="FootnoteReference"/>
        </w:rPr>
        <w:footnoteReference w:id="3"/>
      </w:r>
      <w:r w:rsidR="0090724A">
        <w:t xml:space="preserve">  </w:t>
      </w:r>
      <w:r w:rsidR="00457BB5">
        <w:t>Th</w:t>
      </w:r>
      <w:r>
        <w:t xml:space="preserve">e Commission </w:t>
      </w:r>
      <w:r>
        <w:lastRenderedPageBreak/>
        <w:t>also noted that ATC/AFC calculations raise reliability issues, namely, the need for a transmission provider to know of its neighbors’ system conditions affecting its own ATC values.</w:t>
      </w:r>
      <w:r w:rsidR="00D9302C">
        <w:t xml:space="preserve">  </w:t>
      </w:r>
      <w:r w:rsidR="00A06C97" w:rsidRPr="009940E7">
        <w:t xml:space="preserve">As a result of this reliability concern, the Commission found that the proposed </w:t>
      </w:r>
      <w:r w:rsidR="00452A51">
        <w:t xml:space="preserve">ATC </w:t>
      </w:r>
      <w:r w:rsidR="00A06C97" w:rsidRPr="009940E7">
        <w:t>reforms were also supported by FPA section 215, through which the Commission has the authority to direct the ERO to submit a Reliability Standard that addresses a specific matter.</w:t>
      </w:r>
      <w:r w:rsidR="00A06C97">
        <w:rPr>
          <w:rStyle w:val="FootnoteReference"/>
        </w:rPr>
        <w:footnoteReference w:id="4"/>
      </w:r>
      <w:r w:rsidR="00A06C97" w:rsidRPr="009940E7">
        <w:t xml:space="preserve">  Thus, the Commission in Order No. 890 directed </w:t>
      </w:r>
      <w:r w:rsidR="003B4210">
        <w:t>the</w:t>
      </w:r>
      <w:r w:rsidR="00A06C97" w:rsidRPr="009940E7">
        <w:t xml:space="preserve"> develop</w:t>
      </w:r>
      <w:r w:rsidR="003B4210">
        <w:t>ment of</w:t>
      </w:r>
      <w:r w:rsidR="00A06C97" w:rsidRPr="009940E7">
        <w:t xml:space="preserve"> Reliability Standards, using the ERO’s Reliability Standards development p</w:t>
      </w:r>
      <w:r w:rsidR="00457BB5">
        <w:t>rocess</w:t>
      </w:r>
      <w:r w:rsidR="00A06C97" w:rsidRPr="009940E7">
        <w:t xml:space="preserve">, that provide for consistency and transparency in the methodologies used by transmission owners to calculate </w:t>
      </w:r>
      <w:r w:rsidR="00452A51">
        <w:t>ATC</w:t>
      </w:r>
      <w:r w:rsidR="00A06C97" w:rsidRPr="009940E7">
        <w:t xml:space="preserve">.  The Commission found that, if all of the </w:t>
      </w:r>
      <w:r w:rsidR="00452A51">
        <w:t xml:space="preserve">ATC components and </w:t>
      </w:r>
      <w:r w:rsidR="00A06C97" w:rsidRPr="009940E7">
        <w:t xml:space="preserve">certain data inputs and certain assumptions are consistent, the </w:t>
      </w:r>
      <w:r w:rsidR="00452A51">
        <w:t xml:space="preserve">ATC </w:t>
      </w:r>
      <w:r w:rsidR="00A06C97" w:rsidRPr="009940E7">
        <w:t>calculation methodologies would produce predictable and sufficiently accurate, consistent, equivalent and replicable results.</w:t>
      </w:r>
      <w:r w:rsidR="00457BB5">
        <w:rPr>
          <w:rStyle w:val="FootnoteReference"/>
        </w:rPr>
        <w:footnoteReference w:id="5"/>
      </w:r>
      <w:r w:rsidR="00A06C97" w:rsidRPr="00457BB5">
        <w:rPr>
          <w:b/>
          <w:bCs/>
          <w:sz w:val="17"/>
          <w:szCs w:val="17"/>
        </w:rPr>
        <w:t xml:space="preserve">  </w:t>
      </w:r>
    </w:p>
    <w:p w14:paraId="72718B7D" w14:textId="77777777" w:rsidR="00D9302C" w:rsidRPr="00D9302C" w:rsidRDefault="00D9302C" w:rsidP="00D9302C">
      <w:pPr>
        <w:pStyle w:val="FERCparanumber"/>
        <w:numPr>
          <w:ilvl w:val="0"/>
          <w:numId w:val="0"/>
        </w:numPr>
        <w:rPr>
          <w:b/>
          <w:u w:val="single"/>
        </w:rPr>
      </w:pPr>
      <w:r>
        <w:tab/>
      </w:r>
      <w:r w:rsidRPr="00D9302C">
        <w:rPr>
          <w:b/>
          <w:u w:val="single"/>
        </w:rPr>
        <w:t>Order No</w:t>
      </w:r>
      <w:r>
        <w:rPr>
          <w:b/>
          <w:u w:val="single"/>
        </w:rPr>
        <w:t>s</w:t>
      </w:r>
      <w:r w:rsidRPr="00D9302C">
        <w:rPr>
          <w:b/>
          <w:u w:val="single"/>
        </w:rPr>
        <w:t>. 693</w:t>
      </w:r>
      <w:r>
        <w:rPr>
          <w:b/>
          <w:u w:val="single"/>
        </w:rPr>
        <w:t xml:space="preserve"> and 729</w:t>
      </w:r>
    </w:p>
    <w:p w14:paraId="72718B7E" w14:textId="77777777" w:rsidR="00A06C97" w:rsidRDefault="00A32676" w:rsidP="00E90671">
      <w:pPr>
        <w:pStyle w:val="FERCparanumber"/>
      </w:pPr>
      <w:r w:rsidRPr="00426BE9">
        <w:t>On March 16, 2007, the Commission issued Order No. 693, approving 83 of the 107 Reliability Standards filed by NERC in April 2006.</w:t>
      </w:r>
      <w:r w:rsidR="00457BB5">
        <w:rPr>
          <w:rStyle w:val="FootnoteReference"/>
        </w:rPr>
        <w:footnoteReference w:id="6"/>
      </w:r>
      <w:r w:rsidR="00457BB5">
        <w:t xml:space="preserve">  </w:t>
      </w:r>
      <w:r w:rsidRPr="009940E7">
        <w:rPr>
          <w:b/>
          <w:bCs/>
          <w:sz w:val="17"/>
          <w:szCs w:val="17"/>
        </w:rPr>
        <w:t xml:space="preserve"> </w:t>
      </w:r>
      <w:r w:rsidRPr="00426BE9">
        <w:t>Of the 83 approved Reliability Standards, the Commission approve</w:t>
      </w:r>
      <w:r w:rsidR="00457BB5">
        <w:t>d ten MOD Reliability Standards</w:t>
      </w:r>
      <w:r w:rsidR="00B004E2">
        <w:t xml:space="preserve">.  In addition, </w:t>
      </w:r>
      <w:r w:rsidRPr="00426BE9">
        <w:t xml:space="preserve">the Commission directed NERC to prospectively modify nine of the ten approved MOD </w:t>
      </w:r>
      <w:r w:rsidRPr="00426BE9">
        <w:lastRenderedPageBreak/>
        <w:t>Reliability Standards to be consistent with the requirements of Order No. 890.</w:t>
      </w:r>
      <w:r w:rsidR="00457BB5">
        <w:rPr>
          <w:rStyle w:val="FootnoteReference"/>
        </w:rPr>
        <w:footnoteReference w:id="7"/>
      </w:r>
      <w:r w:rsidR="00457BB5" w:rsidRPr="00452A51">
        <w:rPr>
          <w:b/>
          <w:bCs/>
          <w:szCs w:val="26"/>
        </w:rPr>
        <w:t xml:space="preserve">  </w:t>
      </w:r>
      <w:r w:rsidR="00E81D3F">
        <w:t xml:space="preserve">In Order No. 693, the Commission reiterated its concerns </w:t>
      </w:r>
      <w:r w:rsidR="00452A51">
        <w:t xml:space="preserve">with respect to ATC </w:t>
      </w:r>
      <w:r w:rsidR="00E81D3F">
        <w:t>articulated in Order No. 890 and directed NERC and the industry to develop Reliability Standards that provide for consistency and transparency in the methodologies used by transmission providers to calculate ATC.</w:t>
      </w:r>
      <w:r w:rsidR="000167D0">
        <w:rPr>
          <w:rStyle w:val="FootnoteReference"/>
        </w:rPr>
        <w:footnoteReference w:id="8"/>
      </w:r>
      <w:r w:rsidR="00E81D3F" w:rsidRPr="00457BB5">
        <w:rPr>
          <w:sz w:val="16"/>
          <w:szCs w:val="16"/>
        </w:rPr>
        <w:t xml:space="preserve"> </w:t>
      </w:r>
      <w:r w:rsidR="00E90671">
        <w:rPr>
          <w:sz w:val="16"/>
          <w:szCs w:val="16"/>
        </w:rPr>
        <w:t xml:space="preserve">  </w:t>
      </w:r>
      <w:r w:rsidRPr="00426BE9">
        <w:t xml:space="preserve">The Commission directed public utilities, working through the NERC Reliability Standards and North American Energy Standards Board (NAESB) business practices development processes, to produce solutions to implement the </w:t>
      </w:r>
      <w:r w:rsidR="00E90671">
        <w:t>ATC</w:t>
      </w:r>
      <w:r w:rsidRPr="00426BE9">
        <w:t xml:space="preserve">-related reforms adopted by the Commission. </w:t>
      </w:r>
      <w:r w:rsidR="00E90671">
        <w:t xml:space="preserve"> </w:t>
      </w:r>
    </w:p>
    <w:p w14:paraId="72718B7F" w14:textId="77777777" w:rsidR="00480A57" w:rsidRPr="00A06C97" w:rsidRDefault="00480A57" w:rsidP="00A06C97">
      <w:pPr>
        <w:pStyle w:val="FERCparanumber"/>
      </w:pPr>
      <w:r>
        <w:t>In response to the requirements of Order No. 890 and related directives of Order No. 693, NERC developed th</w:t>
      </w:r>
      <w:r w:rsidR="00E90671">
        <w:t xml:space="preserve">e </w:t>
      </w:r>
      <w:r>
        <w:t>Existing MOD A Standards</w:t>
      </w:r>
      <w:r w:rsidR="00295BB7">
        <w:t>,</w:t>
      </w:r>
      <w:r>
        <w:t xml:space="preserve"> which the Commission </w:t>
      </w:r>
      <w:r w:rsidRPr="00457BB5">
        <w:rPr>
          <w:szCs w:val="26"/>
        </w:rPr>
        <w:t>approved in Order No. 729.</w:t>
      </w:r>
      <w:r w:rsidR="00DE0AA4">
        <w:rPr>
          <w:rStyle w:val="FootnoteReference"/>
        </w:rPr>
        <w:footnoteReference w:id="9"/>
      </w:r>
      <w:r w:rsidRPr="00457BB5">
        <w:rPr>
          <w:szCs w:val="26"/>
        </w:rPr>
        <w:t xml:space="preserve">  The Existing MOD A Standards standardized the manner in which ATC/AFC is determined and requir</w:t>
      </w:r>
      <w:r w:rsidR="00295BB7">
        <w:rPr>
          <w:szCs w:val="26"/>
        </w:rPr>
        <w:t>ed</w:t>
      </w:r>
      <w:r w:rsidRPr="00457BB5">
        <w:rPr>
          <w:szCs w:val="26"/>
        </w:rPr>
        <w:t xml:space="preserve"> the documentation and sharing of ATC/AFC methodologies.  </w:t>
      </w:r>
      <w:r>
        <w:t xml:space="preserve">In approving the Existing MOD A </w:t>
      </w:r>
      <w:r w:rsidR="00DE0AA4">
        <w:t>Reliability S</w:t>
      </w:r>
      <w:r>
        <w:t xml:space="preserve">tandards in Order </w:t>
      </w:r>
      <w:r w:rsidR="005D5507">
        <w:t xml:space="preserve">       </w:t>
      </w:r>
      <w:r>
        <w:t xml:space="preserve">No. 729, the Commission also directed NERC to modify certain aspects of those standards.  </w:t>
      </w:r>
      <w:r w:rsidRPr="00DE0AA4">
        <w:rPr>
          <w:szCs w:val="26"/>
        </w:rPr>
        <w:t xml:space="preserve"> </w:t>
      </w:r>
    </w:p>
    <w:p w14:paraId="72718B80" w14:textId="77777777" w:rsidR="00067A24" w:rsidRDefault="00067A24" w:rsidP="009940E7">
      <w:pPr>
        <w:pStyle w:val="Heading1"/>
      </w:pPr>
      <w:r>
        <w:lastRenderedPageBreak/>
        <w:t>NERC Petition</w:t>
      </w:r>
    </w:p>
    <w:p w14:paraId="72718B81" w14:textId="77777777" w:rsidR="007B0B5F" w:rsidRDefault="00E352CA" w:rsidP="007B0B5F">
      <w:pPr>
        <w:pStyle w:val="FERCparanumber"/>
        <w:rPr>
          <w:szCs w:val="26"/>
        </w:rPr>
      </w:pPr>
      <w:r>
        <w:rPr>
          <w:szCs w:val="26"/>
        </w:rPr>
        <w:t xml:space="preserve">NERC states that </w:t>
      </w:r>
      <w:r w:rsidR="00A32676" w:rsidRPr="00A23C55">
        <w:rPr>
          <w:szCs w:val="26"/>
        </w:rPr>
        <w:t xml:space="preserve">proposed Reliability Standard </w:t>
      </w:r>
      <w:r>
        <w:rPr>
          <w:szCs w:val="26"/>
        </w:rPr>
        <w:t xml:space="preserve">MOD-001-2 </w:t>
      </w:r>
      <w:r w:rsidR="00A32676" w:rsidRPr="00A23C55">
        <w:rPr>
          <w:szCs w:val="26"/>
        </w:rPr>
        <w:t>replace</w:t>
      </w:r>
      <w:r>
        <w:rPr>
          <w:szCs w:val="26"/>
        </w:rPr>
        <w:t>s</w:t>
      </w:r>
      <w:r w:rsidR="00A32676" w:rsidRPr="00A23C55">
        <w:rPr>
          <w:szCs w:val="26"/>
        </w:rPr>
        <w:t>, consolidate</w:t>
      </w:r>
      <w:r>
        <w:rPr>
          <w:szCs w:val="26"/>
        </w:rPr>
        <w:t>s</w:t>
      </w:r>
      <w:r w:rsidR="00A32676" w:rsidRPr="00A23C55">
        <w:rPr>
          <w:szCs w:val="26"/>
        </w:rPr>
        <w:t xml:space="preserve"> and improve</w:t>
      </w:r>
      <w:r>
        <w:rPr>
          <w:szCs w:val="26"/>
        </w:rPr>
        <w:t>s</w:t>
      </w:r>
      <w:r w:rsidR="00A32676" w:rsidRPr="00A23C55">
        <w:rPr>
          <w:szCs w:val="26"/>
        </w:rPr>
        <w:t xml:space="preserve"> upon the Existing MOD A Standards </w:t>
      </w:r>
      <w:r>
        <w:rPr>
          <w:szCs w:val="26"/>
        </w:rPr>
        <w:t xml:space="preserve">by </w:t>
      </w:r>
      <w:r w:rsidR="00A32676" w:rsidRPr="00A23C55">
        <w:rPr>
          <w:szCs w:val="26"/>
        </w:rPr>
        <w:t xml:space="preserve">establishing a framework that comprehensively addresses the reliability concerns </w:t>
      </w:r>
      <w:r>
        <w:rPr>
          <w:szCs w:val="26"/>
        </w:rPr>
        <w:t xml:space="preserve">raised in Order Nos. 693, 890 and 729.  </w:t>
      </w:r>
      <w:r w:rsidR="001B1B7F">
        <w:rPr>
          <w:szCs w:val="26"/>
        </w:rPr>
        <w:t>According to NERC, ATC and AFC values “are commercial in nature, representing the amount of unused transmission capacity that a Transmission Service Provider is will</w:t>
      </w:r>
      <w:r w:rsidR="002011D4">
        <w:rPr>
          <w:szCs w:val="26"/>
        </w:rPr>
        <w:t>ing</w:t>
      </w:r>
      <w:r w:rsidR="001B1B7F">
        <w:rPr>
          <w:szCs w:val="26"/>
        </w:rPr>
        <w:t xml:space="preserve"> to make available for sale to third </w:t>
      </w:r>
      <w:r w:rsidR="0086688C">
        <w:rPr>
          <w:szCs w:val="26"/>
        </w:rPr>
        <w:t>parties.</w:t>
      </w:r>
      <w:r w:rsidR="001B1B7F">
        <w:rPr>
          <w:szCs w:val="26"/>
        </w:rPr>
        <w:t xml:space="preserve">  The purpose of proposed MOD-001-2 is to help ensure that determinations of ATC and AFC are accomplished in a manner that supports the </w:t>
      </w:r>
      <w:r w:rsidR="0086688C">
        <w:rPr>
          <w:szCs w:val="26"/>
        </w:rPr>
        <w:t>reliable</w:t>
      </w:r>
      <w:r w:rsidR="001B1B7F">
        <w:rPr>
          <w:szCs w:val="26"/>
        </w:rPr>
        <w:t xml:space="preserve"> operation of the Bulk-Power System.”</w:t>
      </w:r>
      <w:r w:rsidR="008A1CB4">
        <w:rPr>
          <w:rStyle w:val="FootnoteReference"/>
        </w:rPr>
        <w:footnoteReference w:id="10"/>
      </w:r>
      <w:r w:rsidR="001B1B7F" w:rsidRPr="00DE0AA4">
        <w:rPr>
          <w:szCs w:val="26"/>
        </w:rPr>
        <w:t xml:space="preserve">  </w:t>
      </w:r>
      <w:r w:rsidR="00B64877">
        <w:rPr>
          <w:szCs w:val="26"/>
        </w:rPr>
        <w:t>NERC explains that the consolidation of the reliability-based requirements of the currently-effective MOD A Standards into a single standard focused exclusively on requirements necessary to protect reliability “is consistent with the ERO’s jurisdiction over reliability matters and NERC’s primary mission to develop standards that support the reliability operation of the Bulk-Power System.”</w:t>
      </w:r>
      <w:r w:rsidR="00B64877">
        <w:rPr>
          <w:rStyle w:val="FootnoteReference"/>
        </w:rPr>
        <w:footnoteReference w:id="11"/>
      </w:r>
      <w:r w:rsidR="005F7C87">
        <w:rPr>
          <w:szCs w:val="26"/>
        </w:rPr>
        <w:t xml:space="preserve">  With regard to other provisions of the </w:t>
      </w:r>
      <w:r w:rsidR="00E32637">
        <w:rPr>
          <w:szCs w:val="26"/>
        </w:rPr>
        <w:t>E</w:t>
      </w:r>
      <w:r w:rsidR="005F7C87">
        <w:rPr>
          <w:szCs w:val="26"/>
        </w:rPr>
        <w:t xml:space="preserve">xisting MOD A Standards, NERC </w:t>
      </w:r>
      <w:r w:rsidR="009E7E7F">
        <w:rPr>
          <w:szCs w:val="26"/>
        </w:rPr>
        <w:t>recognizes that</w:t>
      </w:r>
      <w:r w:rsidR="005F7C87">
        <w:rPr>
          <w:szCs w:val="26"/>
        </w:rPr>
        <w:t>:</w:t>
      </w:r>
    </w:p>
    <w:p w14:paraId="72718B82" w14:textId="77777777" w:rsidR="005F7C87" w:rsidRDefault="007B0B5F" w:rsidP="00FE0CAA">
      <w:pPr>
        <w:pStyle w:val="FERCparanumber"/>
        <w:numPr>
          <w:ilvl w:val="0"/>
          <w:numId w:val="0"/>
        </w:numPr>
        <w:spacing w:line="240" w:lineRule="auto"/>
        <w:ind w:left="720"/>
        <w:rPr>
          <w:szCs w:val="26"/>
        </w:rPr>
      </w:pPr>
      <w:r w:rsidRPr="007B0B5F">
        <w:rPr>
          <w:szCs w:val="26"/>
        </w:rPr>
        <w:t>c</w:t>
      </w:r>
      <w:r w:rsidR="009E7E7F" w:rsidRPr="007B0B5F">
        <w:rPr>
          <w:szCs w:val="26"/>
        </w:rPr>
        <w:t xml:space="preserve">ertain of the requirements from the Existing MOD A Standards that are not included in the proposed Reliability Standard may be necessary for market or commercial purposes.  </w:t>
      </w:r>
      <w:r w:rsidR="0086688C" w:rsidRPr="007B0B5F">
        <w:rPr>
          <w:szCs w:val="26"/>
        </w:rPr>
        <w:t>Accordingly,</w:t>
      </w:r>
      <w:r w:rsidR="009E7E7F" w:rsidRPr="007B0B5F">
        <w:rPr>
          <w:szCs w:val="26"/>
        </w:rPr>
        <w:t xml:space="preserve"> NERC formally requested that NAESB, which admin</w:t>
      </w:r>
      <w:r w:rsidRPr="007B0B5F">
        <w:rPr>
          <w:szCs w:val="26"/>
        </w:rPr>
        <w:t>i</w:t>
      </w:r>
      <w:r w:rsidR="009E7E7F" w:rsidRPr="007B0B5F">
        <w:rPr>
          <w:szCs w:val="26"/>
        </w:rPr>
        <w:t>sters business practice standards for the electric industry, consider whether any of the</w:t>
      </w:r>
      <w:r w:rsidR="0086688C">
        <w:rPr>
          <w:szCs w:val="26"/>
        </w:rPr>
        <w:t xml:space="preserve"> “retired”</w:t>
      </w:r>
      <w:r w:rsidR="009E7E7F" w:rsidRPr="007B0B5F">
        <w:rPr>
          <w:szCs w:val="26"/>
        </w:rPr>
        <w:t xml:space="preserve"> requirements are app</w:t>
      </w:r>
      <w:r w:rsidRPr="007B0B5F">
        <w:rPr>
          <w:szCs w:val="26"/>
        </w:rPr>
        <w:t>r</w:t>
      </w:r>
      <w:r w:rsidR="009E7E7F" w:rsidRPr="007B0B5F">
        <w:rPr>
          <w:szCs w:val="26"/>
        </w:rPr>
        <w:t>opriate for inco</w:t>
      </w:r>
      <w:r w:rsidRPr="007B0B5F">
        <w:rPr>
          <w:szCs w:val="26"/>
        </w:rPr>
        <w:t>r</w:t>
      </w:r>
      <w:r w:rsidR="009E7E7F" w:rsidRPr="007B0B5F">
        <w:rPr>
          <w:szCs w:val="26"/>
        </w:rPr>
        <w:t>po</w:t>
      </w:r>
      <w:r w:rsidRPr="007B0B5F">
        <w:rPr>
          <w:szCs w:val="26"/>
        </w:rPr>
        <w:t>r</w:t>
      </w:r>
      <w:r w:rsidR="009E7E7F" w:rsidRPr="007B0B5F">
        <w:rPr>
          <w:szCs w:val="26"/>
        </w:rPr>
        <w:t>ation into NAES</w:t>
      </w:r>
      <w:r w:rsidRPr="007B0B5F">
        <w:rPr>
          <w:szCs w:val="26"/>
        </w:rPr>
        <w:t>B</w:t>
      </w:r>
      <w:r w:rsidR="009E7E7F" w:rsidRPr="007B0B5F">
        <w:rPr>
          <w:szCs w:val="26"/>
        </w:rPr>
        <w:t>’s WEQ St</w:t>
      </w:r>
      <w:r w:rsidRPr="007B0B5F">
        <w:rPr>
          <w:szCs w:val="26"/>
        </w:rPr>
        <w:t>a</w:t>
      </w:r>
      <w:r w:rsidR="009E7E7F" w:rsidRPr="007B0B5F">
        <w:rPr>
          <w:szCs w:val="26"/>
        </w:rPr>
        <w:t>n</w:t>
      </w:r>
      <w:r w:rsidRPr="007B0B5F">
        <w:rPr>
          <w:szCs w:val="26"/>
        </w:rPr>
        <w:t>d</w:t>
      </w:r>
      <w:r w:rsidR="009E7E7F" w:rsidRPr="007B0B5F">
        <w:rPr>
          <w:szCs w:val="26"/>
        </w:rPr>
        <w:t>ards to he</w:t>
      </w:r>
      <w:r w:rsidRPr="007B0B5F">
        <w:rPr>
          <w:szCs w:val="26"/>
        </w:rPr>
        <w:t>l</w:t>
      </w:r>
      <w:r w:rsidR="009E7E7F" w:rsidRPr="007B0B5F">
        <w:rPr>
          <w:szCs w:val="26"/>
        </w:rPr>
        <w:t xml:space="preserve">p </w:t>
      </w:r>
      <w:r w:rsidR="0086688C">
        <w:rPr>
          <w:szCs w:val="26"/>
        </w:rPr>
        <w:t>maintain</w:t>
      </w:r>
      <w:r w:rsidR="009E7E7F" w:rsidRPr="007B0B5F">
        <w:rPr>
          <w:szCs w:val="26"/>
        </w:rPr>
        <w:t xml:space="preserve"> a non-discrimina</w:t>
      </w:r>
      <w:r w:rsidRPr="007B0B5F">
        <w:rPr>
          <w:szCs w:val="26"/>
        </w:rPr>
        <w:t>t</w:t>
      </w:r>
      <w:r w:rsidR="009E7E7F" w:rsidRPr="007B0B5F">
        <w:rPr>
          <w:szCs w:val="26"/>
        </w:rPr>
        <w:t xml:space="preserve">ory market for transmission service. </w:t>
      </w:r>
      <w:r w:rsidRPr="007B0B5F">
        <w:rPr>
          <w:szCs w:val="26"/>
        </w:rPr>
        <w:t xml:space="preserve"> </w:t>
      </w:r>
      <w:r w:rsidR="009E7E7F" w:rsidRPr="007B0B5F">
        <w:rPr>
          <w:szCs w:val="26"/>
        </w:rPr>
        <w:t>NERC understands that NAESB, w</w:t>
      </w:r>
      <w:r w:rsidRPr="007B0B5F">
        <w:rPr>
          <w:szCs w:val="26"/>
        </w:rPr>
        <w:t>o</w:t>
      </w:r>
      <w:r w:rsidR="009E7E7F" w:rsidRPr="007B0B5F">
        <w:rPr>
          <w:szCs w:val="26"/>
        </w:rPr>
        <w:t>rking throu</w:t>
      </w:r>
      <w:r w:rsidRPr="007B0B5F">
        <w:rPr>
          <w:szCs w:val="26"/>
        </w:rPr>
        <w:t>gh</w:t>
      </w:r>
      <w:r w:rsidR="009E7E7F" w:rsidRPr="007B0B5F">
        <w:rPr>
          <w:szCs w:val="26"/>
        </w:rPr>
        <w:t xml:space="preserve"> its business practice development process, is conside</w:t>
      </w:r>
      <w:r w:rsidRPr="007B0B5F">
        <w:rPr>
          <w:szCs w:val="26"/>
        </w:rPr>
        <w:t>ring</w:t>
      </w:r>
      <w:r w:rsidR="009E7E7F" w:rsidRPr="007B0B5F">
        <w:rPr>
          <w:szCs w:val="26"/>
        </w:rPr>
        <w:t xml:space="preserve"> whether to inc</w:t>
      </w:r>
      <w:r w:rsidRPr="007B0B5F">
        <w:rPr>
          <w:szCs w:val="26"/>
        </w:rPr>
        <w:t>o</w:t>
      </w:r>
      <w:r w:rsidR="009E7E7F" w:rsidRPr="007B0B5F">
        <w:rPr>
          <w:szCs w:val="26"/>
        </w:rPr>
        <w:t>rpo</w:t>
      </w:r>
      <w:r w:rsidRPr="007B0B5F">
        <w:rPr>
          <w:szCs w:val="26"/>
        </w:rPr>
        <w:t>r</w:t>
      </w:r>
      <w:r w:rsidR="009E7E7F" w:rsidRPr="007B0B5F">
        <w:rPr>
          <w:szCs w:val="26"/>
        </w:rPr>
        <w:t xml:space="preserve">ate into </w:t>
      </w:r>
      <w:r w:rsidR="009E7E7F" w:rsidRPr="007B0B5F">
        <w:rPr>
          <w:szCs w:val="26"/>
        </w:rPr>
        <w:lastRenderedPageBreak/>
        <w:t>its WEQ Stand</w:t>
      </w:r>
      <w:r w:rsidRPr="007B0B5F">
        <w:rPr>
          <w:szCs w:val="26"/>
        </w:rPr>
        <w:t>a</w:t>
      </w:r>
      <w:r w:rsidR="009E7E7F" w:rsidRPr="007B0B5F">
        <w:rPr>
          <w:szCs w:val="26"/>
        </w:rPr>
        <w:t>rd</w:t>
      </w:r>
      <w:r w:rsidRPr="007B0B5F">
        <w:rPr>
          <w:szCs w:val="26"/>
        </w:rPr>
        <w:t>s</w:t>
      </w:r>
      <w:r w:rsidR="009E7E7F" w:rsidRPr="007B0B5F">
        <w:rPr>
          <w:szCs w:val="26"/>
        </w:rPr>
        <w:t xml:space="preserve"> those elements</w:t>
      </w:r>
      <w:r w:rsidRPr="007B0B5F">
        <w:rPr>
          <w:szCs w:val="26"/>
        </w:rPr>
        <w:t xml:space="preserve"> from the Existing MOD A Standards, if any, that relate to commercial or business practices.</w:t>
      </w:r>
      <w:r>
        <w:rPr>
          <w:rStyle w:val="FootnoteReference"/>
        </w:rPr>
        <w:footnoteReference w:id="12"/>
      </w:r>
    </w:p>
    <w:p w14:paraId="72718B83" w14:textId="77777777" w:rsidR="001A7D94" w:rsidRPr="007B0B5F" w:rsidRDefault="001A7D94" w:rsidP="00FE0CAA">
      <w:pPr>
        <w:pStyle w:val="FERCparanumber"/>
        <w:numPr>
          <w:ilvl w:val="0"/>
          <w:numId w:val="0"/>
        </w:numPr>
        <w:spacing w:line="240" w:lineRule="auto"/>
        <w:ind w:left="720"/>
        <w:rPr>
          <w:szCs w:val="26"/>
        </w:rPr>
      </w:pPr>
    </w:p>
    <w:p w14:paraId="72718B84" w14:textId="77777777" w:rsidR="00A32676" w:rsidRDefault="00E352CA" w:rsidP="00A32676">
      <w:pPr>
        <w:pStyle w:val="FERCparanumber"/>
        <w:rPr>
          <w:szCs w:val="26"/>
        </w:rPr>
      </w:pPr>
      <w:r>
        <w:rPr>
          <w:szCs w:val="26"/>
        </w:rPr>
        <w:t xml:space="preserve">NERC explains that </w:t>
      </w:r>
      <w:r w:rsidRPr="00A23C55">
        <w:rPr>
          <w:szCs w:val="26"/>
        </w:rPr>
        <w:t xml:space="preserve">proposed Reliability Standard </w:t>
      </w:r>
      <w:r>
        <w:rPr>
          <w:szCs w:val="26"/>
        </w:rPr>
        <w:t xml:space="preserve">MOD-001-2 </w:t>
      </w:r>
      <w:r w:rsidR="00A32676" w:rsidRPr="00A23C55">
        <w:rPr>
          <w:szCs w:val="26"/>
        </w:rPr>
        <w:t xml:space="preserve">helps ensure that: (1) ATC/AFC and </w:t>
      </w:r>
      <w:r w:rsidR="00E90671">
        <w:rPr>
          <w:szCs w:val="26"/>
        </w:rPr>
        <w:t xml:space="preserve">total transfer capability and total flowgate capacity </w:t>
      </w:r>
      <w:r w:rsidR="00A32676" w:rsidRPr="00A23C55">
        <w:rPr>
          <w:szCs w:val="26"/>
        </w:rPr>
        <w:t xml:space="preserve">determinations account for system limits and relevant system conditions; (2) ATC/AFC, </w:t>
      </w:r>
      <w:r w:rsidR="002C3455">
        <w:rPr>
          <w:szCs w:val="26"/>
        </w:rPr>
        <w:t>total transfer capability, total flowgate capacity</w:t>
      </w:r>
      <w:r w:rsidR="00A32676" w:rsidRPr="00A23C55">
        <w:rPr>
          <w:szCs w:val="26"/>
        </w:rPr>
        <w:t xml:space="preserve">, </w:t>
      </w:r>
      <w:r w:rsidR="00E90671">
        <w:rPr>
          <w:szCs w:val="26"/>
        </w:rPr>
        <w:t>capacity benefit margin</w:t>
      </w:r>
      <w:r w:rsidR="00E3195A">
        <w:rPr>
          <w:rStyle w:val="FootnoteReference"/>
        </w:rPr>
        <w:footnoteReference w:id="13"/>
      </w:r>
      <w:r w:rsidR="00E90671">
        <w:rPr>
          <w:szCs w:val="26"/>
        </w:rPr>
        <w:t xml:space="preserve"> and transmission reliability margin</w:t>
      </w:r>
      <w:r w:rsidR="00AA3983">
        <w:rPr>
          <w:rStyle w:val="FootnoteReference"/>
        </w:rPr>
        <w:footnoteReference w:id="14"/>
      </w:r>
      <w:r w:rsidR="00E90671">
        <w:rPr>
          <w:szCs w:val="26"/>
        </w:rPr>
        <w:t xml:space="preserve"> </w:t>
      </w:r>
      <w:r w:rsidR="00A32676" w:rsidRPr="00A23C55">
        <w:rPr>
          <w:szCs w:val="26"/>
        </w:rPr>
        <w:t xml:space="preserve">methodologies are documented and available to </w:t>
      </w:r>
      <w:r w:rsidR="00A32676" w:rsidRPr="00D7035D">
        <w:rPr>
          <w:iCs/>
          <w:szCs w:val="26"/>
        </w:rPr>
        <w:t>any</w:t>
      </w:r>
      <w:r w:rsidR="00A32676" w:rsidRPr="00A23C55">
        <w:rPr>
          <w:i/>
          <w:iCs/>
          <w:szCs w:val="26"/>
        </w:rPr>
        <w:t xml:space="preserve"> </w:t>
      </w:r>
      <w:r w:rsidR="00A32676" w:rsidRPr="00A23C55">
        <w:rPr>
          <w:szCs w:val="26"/>
        </w:rPr>
        <w:t xml:space="preserve">registered entity with a demonstrated reliability need for such information; (3) the data supporting those determinations are available to those entities who need such data to conduct their own determinations; and (4) </w:t>
      </w:r>
      <w:r w:rsidR="00A32676" w:rsidRPr="00D7035D">
        <w:rPr>
          <w:iCs/>
          <w:szCs w:val="26"/>
        </w:rPr>
        <w:t>any</w:t>
      </w:r>
      <w:r w:rsidR="00A32676" w:rsidRPr="00A23C55">
        <w:rPr>
          <w:i/>
          <w:iCs/>
          <w:szCs w:val="26"/>
        </w:rPr>
        <w:t xml:space="preserve"> </w:t>
      </w:r>
      <w:r w:rsidR="00A32676" w:rsidRPr="00A23C55">
        <w:rPr>
          <w:szCs w:val="26"/>
        </w:rPr>
        <w:t xml:space="preserve">entity with a reliability need has a mechanism for requesting that the </w:t>
      </w:r>
      <w:r w:rsidR="00D7035D">
        <w:rPr>
          <w:szCs w:val="26"/>
        </w:rPr>
        <w:t>t</w:t>
      </w:r>
      <w:r w:rsidR="00A32676" w:rsidRPr="00A23C55">
        <w:rPr>
          <w:szCs w:val="26"/>
        </w:rPr>
        <w:t xml:space="preserve">ransmission </w:t>
      </w:r>
      <w:r w:rsidR="00D7035D">
        <w:rPr>
          <w:szCs w:val="26"/>
        </w:rPr>
        <w:t>s</w:t>
      </w:r>
      <w:r w:rsidR="00A32676" w:rsidRPr="00A23C55">
        <w:rPr>
          <w:szCs w:val="26"/>
        </w:rPr>
        <w:t xml:space="preserve">ervice </w:t>
      </w:r>
      <w:r w:rsidR="00D7035D">
        <w:rPr>
          <w:szCs w:val="26"/>
        </w:rPr>
        <w:t>p</w:t>
      </w:r>
      <w:r w:rsidR="00A32676" w:rsidRPr="00A23C55">
        <w:rPr>
          <w:szCs w:val="26"/>
        </w:rPr>
        <w:t xml:space="preserve">rovider or the </w:t>
      </w:r>
      <w:r w:rsidR="00D7035D">
        <w:rPr>
          <w:szCs w:val="26"/>
        </w:rPr>
        <w:t>t</w:t>
      </w:r>
      <w:r w:rsidR="00A32676" w:rsidRPr="00A23C55">
        <w:rPr>
          <w:szCs w:val="26"/>
        </w:rPr>
        <w:t xml:space="preserve">ransmission </w:t>
      </w:r>
      <w:r w:rsidR="00D7035D">
        <w:rPr>
          <w:szCs w:val="26"/>
        </w:rPr>
        <w:t>o</w:t>
      </w:r>
      <w:r w:rsidR="00A32676" w:rsidRPr="00A23C55">
        <w:rPr>
          <w:szCs w:val="26"/>
        </w:rPr>
        <w:t xml:space="preserve">perator respond to requests for clarifications regarding their ATC/AFC, </w:t>
      </w:r>
      <w:r w:rsidR="001A7D94">
        <w:rPr>
          <w:szCs w:val="26"/>
        </w:rPr>
        <w:t>total transfer capability</w:t>
      </w:r>
      <w:r w:rsidR="002C3455">
        <w:rPr>
          <w:szCs w:val="26"/>
        </w:rPr>
        <w:t>,</w:t>
      </w:r>
      <w:r w:rsidR="001A7D94">
        <w:rPr>
          <w:szCs w:val="26"/>
        </w:rPr>
        <w:t xml:space="preserve"> total flowgate capacity</w:t>
      </w:r>
      <w:r w:rsidR="001A7D94" w:rsidRPr="00A23C55">
        <w:rPr>
          <w:szCs w:val="26"/>
        </w:rPr>
        <w:t xml:space="preserve">, </w:t>
      </w:r>
      <w:r w:rsidR="001A7D94">
        <w:rPr>
          <w:szCs w:val="26"/>
        </w:rPr>
        <w:t>capacity benefit margin and transmission reliability margin</w:t>
      </w:r>
      <w:r w:rsidR="001A7D94" w:rsidRPr="00A23C55">
        <w:rPr>
          <w:szCs w:val="26"/>
        </w:rPr>
        <w:t xml:space="preserve"> </w:t>
      </w:r>
      <w:r w:rsidR="00D7035D">
        <w:rPr>
          <w:szCs w:val="26"/>
        </w:rPr>
        <w:t>methodologies</w:t>
      </w:r>
      <w:r w:rsidR="00A32676" w:rsidRPr="00A23C55">
        <w:rPr>
          <w:szCs w:val="26"/>
        </w:rPr>
        <w:t xml:space="preserve">. </w:t>
      </w:r>
    </w:p>
    <w:p w14:paraId="72718B85" w14:textId="77777777" w:rsidR="002C3455" w:rsidRDefault="00B64877" w:rsidP="002C3455">
      <w:pPr>
        <w:pStyle w:val="FERCparanumber"/>
        <w:rPr>
          <w:szCs w:val="26"/>
        </w:rPr>
      </w:pPr>
      <w:r>
        <w:rPr>
          <w:szCs w:val="26"/>
        </w:rPr>
        <w:t xml:space="preserve">Further, </w:t>
      </w:r>
      <w:r w:rsidR="004B68E5">
        <w:rPr>
          <w:szCs w:val="26"/>
        </w:rPr>
        <w:t xml:space="preserve">NERC states that </w:t>
      </w:r>
      <w:r>
        <w:rPr>
          <w:szCs w:val="26"/>
        </w:rPr>
        <w:t xml:space="preserve">the proposed Reliability Standard </w:t>
      </w:r>
      <w:r w:rsidR="00D7035D" w:rsidRPr="00A23C55">
        <w:rPr>
          <w:szCs w:val="26"/>
        </w:rPr>
        <w:t>address</w:t>
      </w:r>
      <w:r w:rsidR="00B004E2">
        <w:rPr>
          <w:szCs w:val="26"/>
        </w:rPr>
        <w:t>es</w:t>
      </w:r>
      <w:r w:rsidR="00D7035D" w:rsidRPr="00A23C55">
        <w:rPr>
          <w:szCs w:val="26"/>
        </w:rPr>
        <w:t xml:space="preserve"> th</w:t>
      </w:r>
      <w:r>
        <w:rPr>
          <w:szCs w:val="26"/>
        </w:rPr>
        <w:t>e</w:t>
      </w:r>
      <w:r w:rsidR="004B68E5">
        <w:rPr>
          <w:szCs w:val="26"/>
        </w:rPr>
        <w:t xml:space="preserve"> </w:t>
      </w:r>
      <w:r>
        <w:rPr>
          <w:szCs w:val="26"/>
        </w:rPr>
        <w:t xml:space="preserve">Commission </w:t>
      </w:r>
      <w:r w:rsidR="004B68E5">
        <w:rPr>
          <w:szCs w:val="26"/>
        </w:rPr>
        <w:t xml:space="preserve">directives </w:t>
      </w:r>
      <w:r>
        <w:rPr>
          <w:szCs w:val="26"/>
        </w:rPr>
        <w:t xml:space="preserve">in Order No. 729, </w:t>
      </w:r>
      <w:r w:rsidR="004B68E5">
        <w:rPr>
          <w:szCs w:val="26"/>
        </w:rPr>
        <w:t xml:space="preserve">to the extent that </w:t>
      </w:r>
      <w:r w:rsidR="00D7035D" w:rsidRPr="00A23C55">
        <w:rPr>
          <w:szCs w:val="26"/>
        </w:rPr>
        <w:t xml:space="preserve">the </w:t>
      </w:r>
      <w:r>
        <w:rPr>
          <w:szCs w:val="26"/>
        </w:rPr>
        <w:t xml:space="preserve">directives </w:t>
      </w:r>
      <w:r w:rsidR="00D7035D" w:rsidRPr="00A23C55">
        <w:rPr>
          <w:szCs w:val="26"/>
        </w:rPr>
        <w:t>relate to the reliability requirements retained in proposed MOD-002-1.</w:t>
      </w:r>
      <w:r>
        <w:rPr>
          <w:rStyle w:val="FootnoteReference"/>
        </w:rPr>
        <w:footnoteReference w:id="15"/>
      </w:r>
      <w:r w:rsidR="00D7035D" w:rsidRPr="00A23C55">
        <w:rPr>
          <w:szCs w:val="26"/>
        </w:rPr>
        <w:t xml:space="preserve"> </w:t>
      </w:r>
      <w:r w:rsidR="00E90671">
        <w:rPr>
          <w:szCs w:val="26"/>
        </w:rPr>
        <w:t xml:space="preserve"> </w:t>
      </w:r>
      <w:r w:rsidR="00FC21D5" w:rsidRPr="00FC21D5">
        <w:rPr>
          <w:szCs w:val="26"/>
        </w:rPr>
        <w:t xml:space="preserve">According to NERC, </w:t>
      </w:r>
      <w:r w:rsidR="00FC21D5" w:rsidRPr="00FC21D5">
        <w:rPr>
          <w:szCs w:val="26"/>
        </w:rPr>
        <w:lastRenderedPageBreak/>
        <w:t>NAESB may consider whether Commission directives that relate to requirements not retained in the proposed Reliability Standard are appropriately addressed in its Wholesale Electric Quadrant (WEQ) Standards</w:t>
      </w:r>
      <w:r w:rsidR="00D7035D" w:rsidRPr="00A23C55">
        <w:rPr>
          <w:szCs w:val="26"/>
        </w:rPr>
        <w:t xml:space="preserve">. </w:t>
      </w:r>
    </w:p>
    <w:p w14:paraId="72718B86" w14:textId="77777777" w:rsidR="007A47F0" w:rsidRPr="002C3455" w:rsidRDefault="00D7035D" w:rsidP="002C3455">
      <w:pPr>
        <w:pStyle w:val="FERCparanumber"/>
        <w:rPr>
          <w:szCs w:val="26"/>
        </w:rPr>
      </w:pPr>
      <w:r w:rsidRPr="002C3455">
        <w:rPr>
          <w:szCs w:val="26"/>
        </w:rPr>
        <w:t xml:space="preserve">NERC proposes </w:t>
      </w:r>
      <w:r w:rsidR="00A32676" w:rsidRPr="002C3455">
        <w:rPr>
          <w:szCs w:val="26"/>
        </w:rPr>
        <w:t>six requirements</w:t>
      </w:r>
      <w:r w:rsidRPr="002C3455">
        <w:rPr>
          <w:szCs w:val="26"/>
        </w:rPr>
        <w:t xml:space="preserve"> in proposed Reliability Standard MOD-001-2</w:t>
      </w:r>
      <w:r w:rsidR="00A32676" w:rsidRPr="002C3455">
        <w:rPr>
          <w:szCs w:val="26"/>
        </w:rPr>
        <w:t>.</w:t>
      </w:r>
      <w:r w:rsidR="00E3195A">
        <w:rPr>
          <w:rStyle w:val="FootnoteReference"/>
        </w:rPr>
        <w:footnoteReference w:id="16"/>
      </w:r>
      <w:r w:rsidR="00A32676" w:rsidRPr="002C3455">
        <w:rPr>
          <w:szCs w:val="26"/>
        </w:rPr>
        <w:t xml:space="preserve"> </w:t>
      </w:r>
      <w:r w:rsidR="00E3195A" w:rsidRPr="002C3455">
        <w:rPr>
          <w:szCs w:val="26"/>
        </w:rPr>
        <w:t xml:space="preserve"> </w:t>
      </w:r>
      <w:r w:rsidR="00A32676" w:rsidRPr="002C3455">
        <w:rPr>
          <w:szCs w:val="26"/>
        </w:rPr>
        <w:t>Requirements R1</w:t>
      </w:r>
      <w:r w:rsidR="007555FE" w:rsidRPr="002C3455">
        <w:rPr>
          <w:szCs w:val="26"/>
        </w:rPr>
        <w:t xml:space="preserve"> through</w:t>
      </w:r>
      <w:r w:rsidR="00A32676" w:rsidRPr="002C3455">
        <w:rPr>
          <w:szCs w:val="26"/>
        </w:rPr>
        <w:t xml:space="preserve"> R4 require documentation of the methodologies for determining ATC/AFC, </w:t>
      </w:r>
      <w:r w:rsidR="00C354EA" w:rsidRPr="002C3455">
        <w:rPr>
          <w:szCs w:val="26"/>
        </w:rPr>
        <w:t>total transfer capability</w:t>
      </w:r>
      <w:r w:rsidR="002C3455" w:rsidRPr="002C3455">
        <w:rPr>
          <w:szCs w:val="26"/>
        </w:rPr>
        <w:t>,</w:t>
      </w:r>
      <w:r w:rsidR="00C354EA" w:rsidRPr="002C3455">
        <w:rPr>
          <w:szCs w:val="26"/>
        </w:rPr>
        <w:t xml:space="preserve"> total flowgate capacity, capacity benefit margin and transmission reliability margin, </w:t>
      </w:r>
      <w:r w:rsidR="00A32676" w:rsidRPr="002C3455">
        <w:rPr>
          <w:szCs w:val="26"/>
        </w:rPr>
        <w:t xml:space="preserve">respectively. </w:t>
      </w:r>
      <w:r w:rsidR="00E90671" w:rsidRPr="002C3455">
        <w:rPr>
          <w:szCs w:val="26"/>
        </w:rPr>
        <w:t xml:space="preserve"> </w:t>
      </w:r>
      <w:r w:rsidR="00A32676" w:rsidRPr="002C3455">
        <w:rPr>
          <w:szCs w:val="26"/>
        </w:rPr>
        <w:t xml:space="preserve">Requirements R5 and R6 </w:t>
      </w:r>
      <w:r w:rsidR="00B004E2">
        <w:rPr>
          <w:szCs w:val="26"/>
        </w:rPr>
        <w:t>address</w:t>
      </w:r>
      <w:r w:rsidR="00A32676" w:rsidRPr="002C3455">
        <w:rPr>
          <w:szCs w:val="26"/>
        </w:rPr>
        <w:t xml:space="preserve"> information and data sharing. </w:t>
      </w:r>
      <w:r w:rsidR="00F85433" w:rsidRPr="002C3455">
        <w:rPr>
          <w:szCs w:val="26"/>
        </w:rPr>
        <w:t xml:space="preserve"> In particular, Requirement R5 requires each transmission operator and transmission service provider to provide, upon request, a written response to any request for clarification of its methodologies described in Requirements R1 through R4.  Requirement R6 provides a data sharing mechanism that allows each transmission operator and transmission service provider to access the best available data (e.g., load forecasts, expected dispatch, planned outages) for use </w:t>
      </w:r>
      <w:r w:rsidR="00E32637">
        <w:rPr>
          <w:szCs w:val="26"/>
        </w:rPr>
        <w:t xml:space="preserve">in </w:t>
      </w:r>
      <w:r w:rsidR="00F85433" w:rsidRPr="002C3455">
        <w:rPr>
          <w:szCs w:val="26"/>
        </w:rPr>
        <w:t xml:space="preserve">methodologies described in in Requirements R1 through R4.  </w:t>
      </w:r>
      <w:r w:rsidR="003A7AA1" w:rsidRPr="002C3455">
        <w:rPr>
          <w:szCs w:val="26"/>
        </w:rPr>
        <w:t xml:space="preserve"> </w:t>
      </w:r>
      <w:r w:rsidR="001844C6" w:rsidRPr="002C3455">
        <w:rPr>
          <w:szCs w:val="26"/>
        </w:rPr>
        <w:t xml:space="preserve"> </w:t>
      </w:r>
    </w:p>
    <w:p w14:paraId="72718B87" w14:textId="77777777" w:rsidR="007A7684" w:rsidRDefault="009C2D7A" w:rsidP="001A7D94">
      <w:pPr>
        <w:widowControl/>
        <w:autoSpaceDE/>
        <w:autoSpaceDN/>
        <w:adjustRightInd/>
        <w:rPr>
          <w:b/>
          <w:szCs w:val="26"/>
          <w:u w:val="single"/>
        </w:rPr>
      </w:pPr>
      <w:r>
        <w:rPr>
          <w:szCs w:val="26"/>
        </w:rPr>
        <w:tab/>
      </w:r>
      <w:r w:rsidR="007A7684" w:rsidRPr="007A7684">
        <w:rPr>
          <w:b/>
          <w:szCs w:val="26"/>
          <w:u w:val="single"/>
        </w:rPr>
        <w:t>Implementation Plan</w:t>
      </w:r>
    </w:p>
    <w:p w14:paraId="72718B88" w14:textId="77777777" w:rsidR="001A7D94" w:rsidRPr="007A7684" w:rsidRDefault="001A7D94" w:rsidP="001A7D94">
      <w:pPr>
        <w:widowControl/>
        <w:autoSpaceDE/>
        <w:autoSpaceDN/>
        <w:adjustRightInd/>
        <w:rPr>
          <w:b/>
          <w:szCs w:val="26"/>
          <w:u w:val="single"/>
        </w:rPr>
      </w:pPr>
    </w:p>
    <w:p w14:paraId="72718B89" w14:textId="77777777" w:rsidR="00D7035D" w:rsidRPr="007A7684" w:rsidRDefault="00D7035D" w:rsidP="007A7684">
      <w:pPr>
        <w:pStyle w:val="FERCparanumber"/>
        <w:rPr>
          <w:szCs w:val="26"/>
        </w:rPr>
      </w:pPr>
      <w:r w:rsidRPr="007A7684">
        <w:rPr>
          <w:szCs w:val="26"/>
        </w:rPr>
        <w:t xml:space="preserve">NERC </w:t>
      </w:r>
      <w:r w:rsidR="007A7684">
        <w:rPr>
          <w:szCs w:val="26"/>
        </w:rPr>
        <w:t>r</w:t>
      </w:r>
      <w:r w:rsidRPr="007A7684">
        <w:rPr>
          <w:szCs w:val="26"/>
        </w:rPr>
        <w:t xml:space="preserve">equests that the Commission approve proposed Reliability Standard </w:t>
      </w:r>
      <w:r w:rsidR="007A7684">
        <w:rPr>
          <w:szCs w:val="26"/>
        </w:rPr>
        <w:t xml:space="preserve">MOD-001-2 </w:t>
      </w:r>
      <w:r w:rsidRPr="007A7684">
        <w:rPr>
          <w:szCs w:val="26"/>
        </w:rPr>
        <w:t>and the retirement of the Existing MOD A Standards effective on the first day of the first calendar quarter that is 18 months after the date that</w:t>
      </w:r>
      <w:r w:rsidR="00C8600B">
        <w:rPr>
          <w:szCs w:val="26"/>
        </w:rPr>
        <w:t xml:space="preserve"> </w:t>
      </w:r>
      <w:r w:rsidRPr="007A7684">
        <w:rPr>
          <w:szCs w:val="26"/>
        </w:rPr>
        <w:t xml:space="preserve">the proposed </w:t>
      </w:r>
      <w:r w:rsidR="00C8600B">
        <w:rPr>
          <w:szCs w:val="26"/>
        </w:rPr>
        <w:t>s</w:t>
      </w:r>
      <w:r w:rsidRPr="007A7684">
        <w:rPr>
          <w:szCs w:val="26"/>
        </w:rPr>
        <w:t xml:space="preserve">tandard </w:t>
      </w:r>
      <w:r w:rsidRPr="007A7684">
        <w:rPr>
          <w:szCs w:val="26"/>
        </w:rPr>
        <w:lastRenderedPageBreak/>
        <w:t xml:space="preserve">is approved by </w:t>
      </w:r>
      <w:r w:rsidR="007A7684">
        <w:rPr>
          <w:szCs w:val="26"/>
        </w:rPr>
        <w:t>the Commission.</w:t>
      </w:r>
      <w:r w:rsidR="00AD49A3">
        <w:rPr>
          <w:rStyle w:val="FootnoteReference"/>
        </w:rPr>
        <w:footnoteReference w:id="17"/>
      </w:r>
      <w:r w:rsidR="007A7684">
        <w:rPr>
          <w:szCs w:val="26"/>
        </w:rPr>
        <w:t xml:space="preserve">  NERC states that t</w:t>
      </w:r>
      <w:r w:rsidRPr="007A7684">
        <w:rPr>
          <w:szCs w:val="26"/>
        </w:rPr>
        <w:t xml:space="preserve">he proposed implementation period </w:t>
      </w:r>
      <w:r w:rsidR="006D050E">
        <w:rPr>
          <w:szCs w:val="26"/>
        </w:rPr>
        <w:t>“</w:t>
      </w:r>
      <w:r w:rsidRPr="007A7684">
        <w:rPr>
          <w:szCs w:val="26"/>
        </w:rPr>
        <w:t xml:space="preserve">is intended to provide NAESB sufficient time to include in its WEQ Standards, prior to the effective date of proposed MOD-001-2 and the retirement of the Existing MOD A Standards, those </w:t>
      </w:r>
      <w:r w:rsidR="001F6EA4">
        <w:rPr>
          <w:szCs w:val="26"/>
        </w:rPr>
        <w:t>requirements</w:t>
      </w:r>
      <w:r w:rsidRPr="007A7684">
        <w:rPr>
          <w:szCs w:val="26"/>
        </w:rPr>
        <w:t xml:space="preserve"> from the Existing MOD A Standards, if any, that relate to commercial or business practices and are not </w:t>
      </w:r>
      <w:r w:rsidR="007A7684">
        <w:rPr>
          <w:szCs w:val="26"/>
        </w:rPr>
        <w:t xml:space="preserve">included in proposed </w:t>
      </w:r>
      <w:r w:rsidR="00C8600B">
        <w:rPr>
          <w:szCs w:val="26"/>
        </w:rPr>
        <w:t xml:space="preserve">Reliability Standard </w:t>
      </w:r>
      <w:r w:rsidR="007A7684">
        <w:rPr>
          <w:szCs w:val="26"/>
        </w:rPr>
        <w:t>MOD-001-2.</w:t>
      </w:r>
      <w:r w:rsidR="006D050E">
        <w:rPr>
          <w:szCs w:val="26"/>
        </w:rPr>
        <w:t>”</w:t>
      </w:r>
      <w:r w:rsidR="006D050E">
        <w:rPr>
          <w:rStyle w:val="FootnoteReference"/>
        </w:rPr>
        <w:footnoteReference w:id="18"/>
      </w:r>
      <w:r w:rsidR="007A7684">
        <w:rPr>
          <w:szCs w:val="26"/>
        </w:rPr>
        <w:t xml:space="preserve">  NERC adds that if </w:t>
      </w:r>
      <w:r w:rsidRPr="007A7684">
        <w:rPr>
          <w:szCs w:val="26"/>
        </w:rPr>
        <w:t xml:space="preserve">NAESB and its members determine that </w:t>
      </w:r>
      <w:r w:rsidR="001F6EA4">
        <w:rPr>
          <w:szCs w:val="26"/>
        </w:rPr>
        <w:t>requirements</w:t>
      </w:r>
      <w:r w:rsidRPr="007A7684">
        <w:rPr>
          <w:szCs w:val="26"/>
        </w:rPr>
        <w:t xml:space="preserve"> from the Existing MOD A Standards need to be incorporated into the WEQ Standards, 18 months </w:t>
      </w:r>
      <w:r w:rsidR="007A7684">
        <w:rPr>
          <w:szCs w:val="26"/>
        </w:rPr>
        <w:t>will provide</w:t>
      </w:r>
      <w:r w:rsidRPr="007A7684">
        <w:rPr>
          <w:szCs w:val="26"/>
        </w:rPr>
        <w:t xml:space="preserve"> NAESB time, working through its business practice development process, to adopt revised WEQ Standards and for the Commission to incorporate by reference those revised WEQ </w:t>
      </w:r>
      <w:r w:rsidR="007A7684">
        <w:rPr>
          <w:szCs w:val="26"/>
        </w:rPr>
        <w:t xml:space="preserve">Standards into its regulations.  NERC states that if </w:t>
      </w:r>
      <w:r w:rsidRPr="007A7684">
        <w:rPr>
          <w:szCs w:val="26"/>
        </w:rPr>
        <w:t xml:space="preserve">the proposed implementation period does not provide NAESB sufficient time to consider the issues, </w:t>
      </w:r>
      <w:r w:rsidR="00E24989">
        <w:rPr>
          <w:szCs w:val="26"/>
        </w:rPr>
        <w:t>“</w:t>
      </w:r>
      <w:r w:rsidRPr="007A7684">
        <w:rPr>
          <w:szCs w:val="26"/>
        </w:rPr>
        <w:t>NERC is committed to working with NAESB and Commission staff to address any timing issues.</w:t>
      </w:r>
      <w:r w:rsidR="00E24989">
        <w:rPr>
          <w:szCs w:val="26"/>
        </w:rPr>
        <w:t>”</w:t>
      </w:r>
      <w:r w:rsidR="00E24989">
        <w:rPr>
          <w:rStyle w:val="FootnoteReference"/>
        </w:rPr>
        <w:footnoteReference w:id="19"/>
      </w:r>
      <w:r w:rsidR="00E24989">
        <w:rPr>
          <w:szCs w:val="26"/>
        </w:rPr>
        <w:t xml:space="preserve"> </w:t>
      </w:r>
      <w:r w:rsidRPr="007A7684">
        <w:rPr>
          <w:szCs w:val="26"/>
        </w:rPr>
        <w:t xml:space="preserve"> </w:t>
      </w:r>
      <w:r w:rsidR="00E24989">
        <w:rPr>
          <w:szCs w:val="26"/>
        </w:rPr>
        <w:t xml:space="preserve">Further, </w:t>
      </w:r>
      <w:r w:rsidRPr="007A7684">
        <w:rPr>
          <w:szCs w:val="26"/>
        </w:rPr>
        <w:t xml:space="preserve">NERC </w:t>
      </w:r>
      <w:r w:rsidR="00E24989">
        <w:rPr>
          <w:szCs w:val="26"/>
        </w:rPr>
        <w:t xml:space="preserve">states that it has </w:t>
      </w:r>
      <w:r w:rsidRPr="007A7684">
        <w:rPr>
          <w:szCs w:val="26"/>
        </w:rPr>
        <w:t>requested that NAESB adopt any revised WEQ Standards to become effective on the same date that the proposed MOD-001-2 and the retirement of the Existing MOD A Standards will become effective.</w:t>
      </w:r>
    </w:p>
    <w:p w14:paraId="72718B8A" w14:textId="77777777" w:rsidR="002F7F84" w:rsidRDefault="002F7F84" w:rsidP="007A7684">
      <w:pPr>
        <w:pStyle w:val="Heading1"/>
      </w:pPr>
      <w:r>
        <w:t>Discussion</w:t>
      </w:r>
    </w:p>
    <w:p w14:paraId="72718B8B" w14:textId="77777777" w:rsidR="00254C49" w:rsidRDefault="001A030A" w:rsidP="001A030A">
      <w:pPr>
        <w:pStyle w:val="FERCparanumber"/>
      </w:pPr>
      <w:r>
        <w:t xml:space="preserve">Pursuant to section 215(d)(2) of the FPA, the Commission proposes to approve Reliability Standard </w:t>
      </w:r>
      <w:r w:rsidR="00882970">
        <w:t>MOD-001-2</w:t>
      </w:r>
      <w:r w:rsidR="005B5FA0">
        <w:t xml:space="preserve"> as just, reasonable, not unduly discriminatory or </w:t>
      </w:r>
      <w:r w:rsidR="005B5FA0">
        <w:lastRenderedPageBreak/>
        <w:t>preferential, and in the public interest.  We also propose to approve the associated violation risk factors and violation severity levels as well as the retirement of the currently-effective MOD A Standards as requested by NERC.</w:t>
      </w:r>
      <w:r w:rsidR="00882970">
        <w:t xml:space="preserve">  </w:t>
      </w:r>
    </w:p>
    <w:p w14:paraId="72718B8C" w14:textId="77777777" w:rsidR="003A7AA1" w:rsidRPr="00254C49" w:rsidRDefault="00882970" w:rsidP="001A030A">
      <w:pPr>
        <w:pStyle w:val="FERCparanumber"/>
        <w:rPr>
          <w:szCs w:val="26"/>
        </w:rPr>
      </w:pPr>
      <w:r>
        <w:t xml:space="preserve">Proposed </w:t>
      </w:r>
      <w:r w:rsidR="0049668F">
        <w:t>Reliability</w:t>
      </w:r>
      <w:r>
        <w:t xml:space="preserve"> Standard MOD-001-2</w:t>
      </w:r>
      <w:r w:rsidR="001A030A">
        <w:t xml:space="preserve"> appears to adequately address the Commission </w:t>
      </w:r>
      <w:r>
        <w:t xml:space="preserve">concerns and </w:t>
      </w:r>
      <w:r w:rsidR="001A030A">
        <w:t>directive</w:t>
      </w:r>
      <w:r>
        <w:t>s</w:t>
      </w:r>
      <w:r w:rsidR="001A030A">
        <w:t xml:space="preserve"> in </w:t>
      </w:r>
      <w:r>
        <w:t xml:space="preserve">Order Nos. 890, 693 and 729.  </w:t>
      </w:r>
      <w:r w:rsidR="001A030A">
        <w:t xml:space="preserve">In addition, </w:t>
      </w:r>
      <w:r w:rsidR="006700A7">
        <w:t xml:space="preserve">it appears that proposed Reliability </w:t>
      </w:r>
      <w:r>
        <w:t>MOD-001-2</w:t>
      </w:r>
      <w:r w:rsidR="001A030A">
        <w:t xml:space="preserve"> will </w:t>
      </w:r>
      <w:r w:rsidR="001A030A" w:rsidRPr="00FE0CAA">
        <w:t>enhance reliability</w:t>
      </w:r>
      <w:r w:rsidR="001A030A">
        <w:t xml:space="preserve"> by imposing mandatory requirements governing </w:t>
      </w:r>
      <w:r>
        <w:t>ATC calculations</w:t>
      </w:r>
      <w:r w:rsidR="00E32637">
        <w:t>,</w:t>
      </w:r>
      <w:r>
        <w:t xml:space="preserve"> </w:t>
      </w:r>
      <w:r w:rsidR="001A030A">
        <w:t>thereby</w:t>
      </w:r>
      <w:r w:rsidR="000C5FD7">
        <w:t xml:space="preserve"> </w:t>
      </w:r>
      <w:r w:rsidR="000C5FD7" w:rsidRPr="00FE0CAA">
        <w:t>providing greater transparency</w:t>
      </w:r>
      <w:r w:rsidR="000C5FD7">
        <w:t xml:space="preserve"> to the methodolog</w:t>
      </w:r>
      <w:r w:rsidR="00D970CA">
        <w:t xml:space="preserve">ies used for the </w:t>
      </w:r>
      <w:r w:rsidR="000C5FD7">
        <w:t>reliability components</w:t>
      </w:r>
      <w:r w:rsidR="00D970CA">
        <w:t xml:space="preserve"> of the ATC </w:t>
      </w:r>
      <w:r w:rsidR="009C2D7A">
        <w:t>equation</w:t>
      </w:r>
      <w:r w:rsidR="002C3455">
        <w:t>.</w:t>
      </w:r>
      <w:r w:rsidR="00B004E2">
        <w:rPr>
          <w:rStyle w:val="FootnoteReference"/>
        </w:rPr>
        <w:footnoteReference w:id="20"/>
      </w:r>
      <w:r w:rsidR="005348C4">
        <w:t xml:space="preserve"> </w:t>
      </w:r>
      <w:r w:rsidR="002C3455">
        <w:t xml:space="preserve"> </w:t>
      </w:r>
      <w:r w:rsidRPr="00254C49">
        <w:rPr>
          <w:szCs w:val="26"/>
        </w:rPr>
        <w:t xml:space="preserve">We </w:t>
      </w:r>
      <w:r w:rsidR="006700A7" w:rsidRPr="00E235E0">
        <w:rPr>
          <w:szCs w:val="26"/>
        </w:rPr>
        <w:t xml:space="preserve">also </w:t>
      </w:r>
      <w:r w:rsidR="003F5746" w:rsidRPr="00E235E0">
        <w:rPr>
          <w:szCs w:val="26"/>
        </w:rPr>
        <w:t>believe that there is merit in NERC</w:t>
      </w:r>
      <w:r w:rsidR="003F5746" w:rsidRPr="00694968">
        <w:rPr>
          <w:szCs w:val="26"/>
        </w:rPr>
        <w:t>’</w:t>
      </w:r>
      <w:r w:rsidR="003F5746" w:rsidRPr="002C6A35">
        <w:rPr>
          <w:szCs w:val="26"/>
        </w:rPr>
        <w:t xml:space="preserve">s </w:t>
      </w:r>
      <w:r w:rsidRPr="007B5E3C">
        <w:rPr>
          <w:szCs w:val="26"/>
        </w:rPr>
        <w:t>propos</w:t>
      </w:r>
      <w:r w:rsidR="003F5746" w:rsidRPr="007B5E3C">
        <w:rPr>
          <w:szCs w:val="26"/>
        </w:rPr>
        <w:t>al</w:t>
      </w:r>
      <w:r w:rsidR="003F5746" w:rsidRPr="00254C49">
        <w:rPr>
          <w:szCs w:val="26"/>
        </w:rPr>
        <w:t xml:space="preserve"> to</w:t>
      </w:r>
      <w:r w:rsidR="003A7AA1" w:rsidRPr="00254C49">
        <w:rPr>
          <w:szCs w:val="26"/>
        </w:rPr>
        <w:t xml:space="preserve"> consolidat</w:t>
      </w:r>
      <w:r w:rsidR="003F5746" w:rsidRPr="00254C49">
        <w:rPr>
          <w:szCs w:val="26"/>
        </w:rPr>
        <w:t>e</w:t>
      </w:r>
      <w:r w:rsidR="003A7AA1" w:rsidRPr="00254C49">
        <w:rPr>
          <w:szCs w:val="26"/>
        </w:rPr>
        <w:t xml:space="preserve"> the reliability-based requirements of the Existing MOD A Standards into a single standard</w:t>
      </w:r>
      <w:r w:rsidR="003F5746" w:rsidRPr="00254C49">
        <w:rPr>
          <w:szCs w:val="26"/>
        </w:rPr>
        <w:t>, while coordinating with NAESB to develop</w:t>
      </w:r>
      <w:r w:rsidR="003A7AA1" w:rsidRPr="00254C49">
        <w:rPr>
          <w:szCs w:val="26"/>
        </w:rPr>
        <w:t xml:space="preserve"> </w:t>
      </w:r>
      <w:r w:rsidR="003F5746" w:rsidRPr="00254C49">
        <w:rPr>
          <w:szCs w:val="26"/>
        </w:rPr>
        <w:t xml:space="preserve">NAESB WEQ Standards that pertain to the commercial aspects of ATC calculations.  </w:t>
      </w:r>
      <w:r w:rsidR="00E90671" w:rsidRPr="00254C49">
        <w:rPr>
          <w:szCs w:val="26"/>
        </w:rPr>
        <w:t>We seek comment on th</w:t>
      </w:r>
      <w:r w:rsidR="003F5746" w:rsidRPr="00254C49">
        <w:rPr>
          <w:szCs w:val="26"/>
        </w:rPr>
        <w:t>is aspect of NERC’s</w:t>
      </w:r>
      <w:r w:rsidR="00E90671" w:rsidRPr="00254C49">
        <w:rPr>
          <w:szCs w:val="26"/>
        </w:rPr>
        <w:t xml:space="preserve"> proposal.  </w:t>
      </w:r>
      <w:r w:rsidRPr="00254C49">
        <w:rPr>
          <w:szCs w:val="26"/>
        </w:rPr>
        <w:t xml:space="preserve"> </w:t>
      </w:r>
    </w:p>
    <w:p w14:paraId="72718B8D" w14:textId="77777777" w:rsidR="001A030A" w:rsidRPr="001A030A" w:rsidRDefault="001A030A" w:rsidP="005B5FA0">
      <w:pPr>
        <w:pStyle w:val="FERCparanumber"/>
      </w:pPr>
      <w:r w:rsidRPr="00882970">
        <w:rPr>
          <w:szCs w:val="26"/>
        </w:rPr>
        <w:t xml:space="preserve">With regard to the implementation plan, </w:t>
      </w:r>
      <w:r w:rsidR="007473C6">
        <w:rPr>
          <w:szCs w:val="26"/>
        </w:rPr>
        <w:t xml:space="preserve">NERC explains that the proposed effective date - </w:t>
      </w:r>
      <w:r w:rsidR="007473C6" w:rsidRPr="007A7684">
        <w:rPr>
          <w:szCs w:val="26"/>
        </w:rPr>
        <w:t xml:space="preserve">the first day of the first calendar quarter that is 18 months after </w:t>
      </w:r>
      <w:r w:rsidR="007473C6">
        <w:rPr>
          <w:szCs w:val="26"/>
        </w:rPr>
        <w:t xml:space="preserve">Commission </w:t>
      </w:r>
      <w:r w:rsidR="007473C6" w:rsidRPr="007A7684">
        <w:rPr>
          <w:szCs w:val="26"/>
        </w:rPr>
        <w:t>approv</w:t>
      </w:r>
      <w:r w:rsidR="007473C6">
        <w:rPr>
          <w:szCs w:val="26"/>
        </w:rPr>
        <w:t xml:space="preserve">al – is designed to allow NAESB to develop related commercial </w:t>
      </w:r>
      <w:r w:rsidR="000C4EB0">
        <w:rPr>
          <w:szCs w:val="26"/>
        </w:rPr>
        <w:t>standards</w:t>
      </w:r>
      <w:r w:rsidR="007473C6">
        <w:rPr>
          <w:szCs w:val="26"/>
        </w:rPr>
        <w:t xml:space="preserve"> that would take effect concurrently with MOD-001-2.  </w:t>
      </w:r>
      <w:r w:rsidR="00177FE1" w:rsidRPr="005B5FA0">
        <w:rPr>
          <w:szCs w:val="26"/>
        </w:rPr>
        <w:t xml:space="preserve">While </w:t>
      </w:r>
      <w:r w:rsidRPr="00E235E0">
        <w:rPr>
          <w:szCs w:val="26"/>
        </w:rPr>
        <w:t xml:space="preserve">NERC’s </w:t>
      </w:r>
      <w:r w:rsidR="007D3F86" w:rsidRPr="00E235E0">
        <w:rPr>
          <w:szCs w:val="26"/>
        </w:rPr>
        <w:t xml:space="preserve">implementation schedule </w:t>
      </w:r>
      <w:r w:rsidR="00177FE1" w:rsidRPr="00E235E0">
        <w:rPr>
          <w:szCs w:val="26"/>
        </w:rPr>
        <w:t xml:space="preserve">appears reasonable, </w:t>
      </w:r>
      <w:r w:rsidR="00DC12EB">
        <w:rPr>
          <w:szCs w:val="26"/>
        </w:rPr>
        <w:t xml:space="preserve">we are concerned about </w:t>
      </w:r>
      <w:r w:rsidR="00C5359F">
        <w:rPr>
          <w:szCs w:val="26"/>
        </w:rPr>
        <w:t>a</w:t>
      </w:r>
      <w:r w:rsidR="00DC12EB">
        <w:rPr>
          <w:szCs w:val="26"/>
        </w:rPr>
        <w:t xml:space="preserve"> potential </w:t>
      </w:r>
      <w:r w:rsidR="00C5359F">
        <w:rPr>
          <w:szCs w:val="26"/>
        </w:rPr>
        <w:t xml:space="preserve">“gap” should the </w:t>
      </w:r>
      <w:r w:rsidR="00DC12EB">
        <w:rPr>
          <w:szCs w:val="26"/>
        </w:rPr>
        <w:t xml:space="preserve">retirement of the currently-effective MOD A Standards </w:t>
      </w:r>
      <w:r w:rsidR="00C5359F">
        <w:rPr>
          <w:szCs w:val="26"/>
        </w:rPr>
        <w:t xml:space="preserve">occur </w:t>
      </w:r>
      <w:r w:rsidR="00DC12EB">
        <w:rPr>
          <w:szCs w:val="26"/>
        </w:rPr>
        <w:t xml:space="preserve">prior to effective date of corresponding NAESB WEQ </w:t>
      </w:r>
      <w:r w:rsidR="00711E06">
        <w:rPr>
          <w:szCs w:val="26"/>
        </w:rPr>
        <w:t xml:space="preserve">business </w:t>
      </w:r>
      <w:r w:rsidR="00DC221F">
        <w:rPr>
          <w:szCs w:val="26"/>
        </w:rPr>
        <w:t>practices</w:t>
      </w:r>
      <w:r w:rsidR="00C5359F">
        <w:rPr>
          <w:szCs w:val="26"/>
        </w:rPr>
        <w:t xml:space="preserve">.  </w:t>
      </w:r>
      <w:r w:rsidR="00DC12EB">
        <w:rPr>
          <w:szCs w:val="26"/>
        </w:rPr>
        <w:t xml:space="preserve">Accordingly, </w:t>
      </w:r>
      <w:r w:rsidR="00177FE1" w:rsidRPr="00E235E0">
        <w:rPr>
          <w:szCs w:val="26"/>
        </w:rPr>
        <w:t xml:space="preserve">we seek comment </w:t>
      </w:r>
      <w:r w:rsidR="00F379F5">
        <w:rPr>
          <w:szCs w:val="26"/>
        </w:rPr>
        <w:lastRenderedPageBreak/>
        <w:t xml:space="preserve">from NAESB and others </w:t>
      </w:r>
      <w:r w:rsidR="00420A73">
        <w:rPr>
          <w:szCs w:val="26"/>
        </w:rPr>
        <w:t xml:space="preserve">whether 18 months </w:t>
      </w:r>
      <w:r w:rsidR="00E32637">
        <w:rPr>
          <w:szCs w:val="26"/>
        </w:rPr>
        <w:t xml:space="preserve">from the date of Commission approval </w:t>
      </w:r>
      <w:r w:rsidR="00420A73">
        <w:rPr>
          <w:szCs w:val="26"/>
        </w:rPr>
        <w:t xml:space="preserve">provides adequate time for NAESB to develop related </w:t>
      </w:r>
      <w:r w:rsidR="00711E06">
        <w:rPr>
          <w:szCs w:val="26"/>
        </w:rPr>
        <w:t xml:space="preserve">business </w:t>
      </w:r>
      <w:r w:rsidR="00DC221F">
        <w:rPr>
          <w:szCs w:val="26"/>
        </w:rPr>
        <w:t>practices</w:t>
      </w:r>
      <w:r w:rsidR="00711E06">
        <w:rPr>
          <w:szCs w:val="26"/>
        </w:rPr>
        <w:t xml:space="preserve"> assoc</w:t>
      </w:r>
      <w:r w:rsidR="00F62E87">
        <w:rPr>
          <w:szCs w:val="26"/>
        </w:rPr>
        <w:t>iated with ATC calculations</w:t>
      </w:r>
      <w:r w:rsidR="00F379F5">
        <w:rPr>
          <w:szCs w:val="26"/>
        </w:rPr>
        <w:t xml:space="preserve"> or whether additional time may be appropriate to better assure synchronization of the effective dates for the proposed Reliability Standard and related NAESB practices</w:t>
      </w:r>
      <w:r w:rsidR="00F62E87">
        <w:rPr>
          <w:szCs w:val="26"/>
        </w:rPr>
        <w:t>.</w:t>
      </w:r>
      <w:r w:rsidR="00420A73">
        <w:rPr>
          <w:szCs w:val="26"/>
        </w:rPr>
        <w:t xml:space="preserve">  </w:t>
      </w:r>
      <w:r w:rsidR="00DC12EB">
        <w:rPr>
          <w:szCs w:val="26"/>
        </w:rPr>
        <w:t xml:space="preserve">Further, </w:t>
      </w:r>
      <w:r w:rsidR="00E235E0">
        <w:rPr>
          <w:szCs w:val="26"/>
        </w:rPr>
        <w:t>while NERC states that it is “committed to working with NAESB and Commission staff to address any timing issues,”</w:t>
      </w:r>
      <w:r w:rsidR="00E235E0">
        <w:rPr>
          <w:rStyle w:val="FootnoteReference"/>
        </w:rPr>
        <w:footnoteReference w:id="21"/>
      </w:r>
      <w:r w:rsidR="00E235E0">
        <w:rPr>
          <w:szCs w:val="26"/>
        </w:rPr>
        <w:t xml:space="preserve"> we seek further elaboration on </w:t>
      </w:r>
      <w:r w:rsidR="00694968">
        <w:rPr>
          <w:szCs w:val="26"/>
        </w:rPr>
        <w:t>specific action</w:t>
      </w:r>
      <w:r w:rsidR="004E203B">
        <w:rPr>
          <w:szCs w:val="26"/>
        </w:rPr>
        <w:t>s</w:t>
      </w:r>
      <w:r w:rsidR="00694968">
        <w:rPr>
          <w:szCs w:val="26"/>
        </w:rPr>
        <w:t xml:space="preserve"> </w:t>
      </w:r>
      <w:bookmarkStart w:id="0" w:name="_GoBack"/>
      <w:r w:rsidR="004E203B">
        <w:rPr>
          <w:szCs w:val="26"/>
        </w:rPr>
        <w:t>NERC c</w:t>
      </w:r>
      <w:r w:rsidR="00694968">
        <w:rPr>
          <w:szCs w:val="26"/>
        </w:rPr>
        <w:t xml:space="preserve">ould </w:t>
      </w:r>
      <w:r w:rsidR="004E203B">
        <w:rPr>
          <w:szCs w:val="26"/>
        </w:rPr>
        <w:t xml:space="preserve">take to </w:t>
      </w:r>
      <w:r w:rsidR="00694968">
        <w:rPr>
          <w:szCs w:val="26"/>
        </w:rPr>
        <w:t xml:space="preserve">assure </w:t>
      </w:r>
      <w:r w:rsidR="004E203B">
        <w:rPr>
          <w:szCs w:val="26"/>
        </w:rPr>
        <w:t xml:space="preserve">synchronization of </w:t>
      </w:r>
      <w:r w:rsidR="00694968">
        <w:rPr>
          <w:szCs w:val="26"/>
        </w:rPr>
        <w:t>the effective date</w:t>
      </w:r>
      <w:r w:rsidR="006F7364">
        <w:rPr>
          <w:szCs w:val="26"/>
        </w:rPr>
        <w:t>s</w:t>
      </w:r>
      <w:r w:rsidR="00694968">
        <w:rPr>
          <w:szCs w:val="26"/>
        </w:rPr>
        <w:t xml:space="preserve">. </w:t>
      </w:r>
      <w:bookmarkEnd w:id="0"/>
      <w:r w:rsidR="00694968">
        <w:rPr>
          <w:szCs w:val="26"/>
        </w:rPr>
        <w:t xml:space="preserve"> </w:t>
      </w:r>
      <w:r w:rsidR="0056308C">
        <w:rPr>
          <w:szCs w:val="26"/>
        </w:rPr>
        <w:t xml:space="preserve">  </w:t>
      </w:r>
    </w:p>
    <w:p w14:paraId="72718B8E" w14:textId="77777777" w:rsidR="007A7684" w:rsidRPr="00AD27B1" w:rsidRDefault="007A7684" w:rsidP="007A7684">
      <w:pPr>
        <w:pStyle w:val="Heading1"/>
      </w:pPr>
      <w:bookmarkStart w:id="1" w:name="_Toc280101685"/>
      <w:r w:rsidRPr="00AD27B1">
        <w:t>Information Collection Statement</w:t>
      </w:r>
    </w:p>
    <w:bookmarkEnd w:id="1"/>
    <w:p w14:paraId="72718B8F" w14:textId="77777777" w:rsidR="009C2D7A" w:rsidRDefault="009C2D7A" w:rsidP="009C2D7A">
      <w:pPr>
        <w:pStyle w:val="FERCparanumber"/>
        <w:tabs>
          <w:tab w:val="left" w:pos="720"/>
        </w:tabs>
        <w:rPr>
          <w:szCs w:val="26"/>
        </w:rPr>
      </w:pPr>
      <w:r>
        <w:rPr>
          <w:szCs w:val="26"/>
        </w:rPr>
        <w:t xml:space="preserve">The collection of information contained in this Notice of Proposed Rulemaking is subject to review by </w:t>
      </w:r>
      <w:r>
        <w:t>the</w:t>
      </w:r>
      <w:r>
        <w:rPr>
          <w:szCs w:val="26"/>
        </w:rPr>
        <w:t xml:space="preserve"> Office of Management and Budget (OMB) under section 3507(d) of the Paperwork Reduction Act of 1995.</w:t>
      </w:r>
      <w:r>
        <w:rPr>
          <w:rStyle w:val="FootnoteReference"/>
        </w:rPr>
        <w:footnoteReference w:id="22"/>
      </w:r>
      <w:r>
        <w:rPr>
          <w:szCs w:val="26"/>
        </w:rPr>
        <w:t xml:space="preserve">  OMB’s regulations require approval of certain information collection requirements imposed by agency rules.</w:t>
      </w:r>
      <w:r>
        <w:rPr>
          <w:rStyle w:val="FootnoteReference"/>
        </w:rPr>
        <w:footnoteReference w:id="23"/>
      </w:r>
      <w:r>
        <w:rPr>
          <w:szCs w:val="26"/>
        </w:rPr>
        <w:t xml:space="preserve">  Upon approval of a collection(s)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  </w:t>
      </w:r>
    </w:p>
    <w:p w14:paraId="72718B90" w14:textId="77777777" w:rsidR="008E214C" w:rsidRDefault="009C2D7A" w:rsidP="008E214C">
      <w:pPr>
        <w:pStyle w:val="FERCparanumber"/>
        <w:tabs>
          <w:tab w:val="left" w:pos="720"/>
        </w:tabs>
        <w:rPr>
          <w:szCs w:val="26"/>
        </w:rPr>
      </w:pPr>
      <w:r>
        <w:rPr>
          <w:szCs w:val="26"/>
        </w:rPr>
        <w:lastRenderedPageBreak/>
        <w:t xml:space="preserve">We solicit comments on the need for this information, whether the information will have practical </w:t>
      </w:r>
      <w:r>
        <w:t>utility</w:t>
      </w:r>
      <w:r>
        <w:rPr>
          <w:szCs w:val="26"/>
        </w:rPr>
        <w:t>, the accuracy of the burden estimates, ways to enhance the quality, utility, and clarity of the information to be collected or retained, and any suggested methods for minimizing respondents’ burden, including the use of automated information techniques.  Specifically, the Commission asks that any revised burden or cost estimates submitted by commenters be supported by sufficient detail to understand how the estimates are generated.</w:t>
      </w:r>
    </w:p>
    <w:p w14:paraId="72718B91" w14:textId="77777777" w:rsidR="009C2D7A" w:rsidRPr="008E214C" w:rsidRDefault="009C2D7A" w:rsidP="008E214C">
      <w:pPr>
        <w:pStyle w:val="FERCparanumber"/>
        <w:tabs>
          <w:tab w:val="left" w:pos="720"/>
        </w:tabs>
        <w:rPr>
          <w:szCs w:val="26"/>
        </w:rPr>
      </w:pPr>
      <w:r>
        <w:t>This notice proposes to approve Reliability Standard MOD-001-2 and to retire Reliability Standards MOD-001-1a, MOD-004-1, MOD-008-1</w:t>
      </w:r>
      <w:r w:rsidR="002E1A6F">
        <w:t>,</w:t>
      </w:r>
      <w:r>
        <w:t xml:space="preserve"> MOD-028-2, MOD-029-1a</w:t>
      </w:r>
      <w:r w:rsidR="0090724A">
        <w:t>,</w:t>
      </w:r>
      <w:r>
        <w:t xml:space="preserve"> and MOD-030-2.  Proposed Reliability Standard MOD-001-2 will </w:t>
      </w:r>
      <w:r w:rsidRPr="008E214C">
        <w:rPr>
          <w:szCs w:val="26"/>
        </w:rPr>
        <w:t xml:space="preserve">ensure that </w:t>
      </w:r>
      <w:r w:rsidR="00AB65B5">
        <w:rPr>
          <w:szCs w:val="26"/>
        </w:rPr>
        <w:t xml:space="preserve">ATC </w:t>
      </w:r>
      <w:r w:rsidR="005C4A00">
        <w:rPr>
          <w:szCs w:val="26"/>
        </w:rPr>
        <w:t xml:space="preserve">calculations </w:t>
      </w:r>
      <w:r w:rsidRPr="008E214C">
        <w:rPr>
          <w:szCs w:val="26"/>
        </w:rPr>
        <w:t>are determined in a manner that supports the reliable operation of the Bulk-Power System and that the methodology and data underlying those determinations are disclosed to those registered entities that need such information for reliability purposes</w:t>
      </w:r>
      <w:r>
        <w:t xml:space="preserve">.  </w:t>
      </w:r>
    </w:p>
    <w:p w14:paraId="72718B92" w14:textId="77777777" w:rsidR="008E09A8" w:rsidRDefault="009C2D7A" w:rsidP="009C2D7A">
      <w:pPr>
        <w:pStyle w:val="FERCparanumber"/>
        <w:numPr>
          <w:ilvl w:val="0"/>
          <w:numId w:val="0"/>
        </w:numPr>
        <w:tabs>
          <w:tab w:val="left" w:pos="720"/>
        </w:tabs>
      </w:pPr>
      <w:r>
        <w:rPr>
          <w:szCs w:val="26"/>
          <w:u w:val="single"/>
        </w:rPr>
        <w:t>Public Reporting Burden</w:t>
      </w:r>
      <w:r>
        <w:rPr>
          <w:szCs w:val="26"/>
        </w:rPr>
        <w:t xml:space="preserve">:  </w:t>
      </w:r>
      <w:r>
        <w:t>Proposed Reliability Standard MOD-001-2 does not require responsible entities to file information with the Commission.  However, the Reliability Standard requires applicable entities to develop and maintain certain information, subject to audit by a regional entity.  In particular, transmission owners and transmission service providers, with the exception of transmission owners and transmission service providers within the Electric Reliability Council of Texas (ERCOT), must “have evidence” to show that methodologies of t</w:t>
      </w:r>
      <w:r>
        <w:rPr>
          <w:szCs w:val="26"/>
        </w:rPr>
        <w:t xml:space="preserve">otal flowgate capability or total transfer capability and AFC and ATC, as well as </w:t>
      </w:r>
      <w:r w:rsidR="002E1A6F">
        <w:rPr>
          <w:szCs w:val="26"/>
        </w:rPr>
        <w:t xml:space="preserve">capacity benefit margin and transmission reliability margin </w:t>
      </w:r>
      <w:r>
        <w:rPr>
          <w:szCs w:val="26"/>
        </w:rPr>
        <w:t>methodologies</w:t>
      </w:r>
      <w:r>
        <w:t xml:space="preserve">.  </w:t>
      </w:r>
      <w:r>
        <w:rPr>
          <w:bCs/>
        </w:rPr>
        <w:t xml:space="preserve">Our estimate below regarding the number of respondents is based on the </w:t>
      </w:r>
      <w:r>
        <w:rPr>
          <w:bCs/>
        </w:rPr>
        <w:lastRenderedPageBreak/>
        <w:t>NERC compliance registry as of March 26, 2014.  According to the NERC compliance registry, NERC has registered 170 transmission operators (excluding transmission operators within ERCOT) and 93 transmission service providers (excluding transmission service providers in ERCOT).  However, under NERC’s compliance registration program, entities may be registered for multiple functions, so these numbers incorporate some double counting.  The number of unique entities responding will be approximately 186 entities registered as a transmission operator or a transmission service provider (excluding transmission operators and transmission service providers in ERCOT)</w:t>
      </w:r>
      <w:r>
        <w:t xml:space="preserve">.  The Commission estimates the annual reporting burden and cost as follows:  </w:t>
      </w:r>
    </w:p>
    <w:tbl>
      <w:tblPr>
        <w:tblW w:w="11096"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57"/>
        <w:gridCol w:w="1537"/>
        <w:gridCol w:w="1444"/>
        <w:gridCol w:w="1327"/>
        <w:gridCol w:w="1735"/>
        <w:gridCol w:w="1792"/>
        <w:gridCol w:w="1604"/>
      </w:tblGrid>
      <w:tr w:rsidR="008E09A8" w14:paraId="72718B95" w14:textId="77777777" w:rsidTr="0090724A">
        <w:trPr>
          <w:cantSplit/>
        </w:trPr>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18B93" w14:textId="77777777" w:rsidR="008E09A8" w:rsidRDefault="008E09A8">
            <w:pPr>
              <w:jc w:val="center"/>
              <w:rPr>
                <w:b/>
                <w:sz w:val="24"/>
                <w:lang w:bidi="he-IL"/>
              </w:rPr>
            </w:pPr>
          </w:p>
        </w:tc>
        <w:tc>
          <w:tcPr>
            <w:tcW w:w="97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18B94" w14:textId="77777777" w:rsidR="008E09A8" w:rsidRDefault="008E09A8">
            <w:pPr>
              <w:keepNext/>
              <w:jc w:val="center"/>
              <w:rPr>
                <w:b/>
                <w:sz w:val="24"/>
                <w:lang w:bidi="he-IL"/>
              </w:rPr>
            </w:pPr>
          </w:p>
        </w:tc>
      </w:tr>
      <w:tr w:rsidR="008E09A8" w14:paraId="72718BA1" w14:textId="77777777" w:rsidTr="0090724A">
        <w:trPr>
          <w:cantSplit/>
        </w:trPr>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718B96" w14:textId="77777777" w:rsidR="008E09A8" w:rsidRDefault="008E09A8">
            <w:pPr>
              <w:jc w:val="center"/>
              <w:rPr>
                <w:b/>
                <w:sz w:val="24"/>
                <w:lang w:bidi="he-IL"/>
              </w:rPr>
            </w:pP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718B97" w14:textId="77777777" w:rsidR="008E09A8" w:rsidRDefault="008E09A8">
            <w:pPr>
              <w:jc w:val="center"/>
              <w:rPr>
                <w:b/>
                <w:sz w:val="24"/>
                <w:lang w:bidi="he-IL"/>
              </w:rPr>
            </w:pPr>
            <w:r>
              <w:rPr>
                <w:b/>
                <w:sz w:val="24"/>
                <w:lang w:bidi="he-IL"/>
              </w:rPr>
              <w:t>Number and Type of Respondents</w:t>
            </w:r>
            <w:r>
              <w:rPr>
                <w:b/>
                <w:sz w:val="24"/>
                <w:lang w:bidi="he-IL"/>
              </w:rPr>
              <w:br/>
              <w:t>(1)</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718B98" w14:textId="77777777" w:rsidR="008E09A8" w:rsidRDefault="008E09A8">
            <w:pPr>
              <w:jc w:val="center"/>
              <w:rPr>
                <w:b/>
                <w:sz w:val="24"/>
                <w:lang w:bidi="he-IL"/>
              </w:rPr>
            </w:pPr>
            <w:r>
              <w:rPr>
                <w:b/>
                <w:sz w:val="24"/>
                <w:lang w:bidi="he-IL"/>
              </w:rPr>
              <w:t>Annual Number of Responses per Respondent (2)</w:t>
            </w:r>
          </w:p>
        </w:tc>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718B99" w14:textId="77777777" w:rsidR="008E09A8" w:rsidRDefault="008E09A8">
            <w:pPr>
              <w:jc w:val="center"/>
              <w:rPr>
                <w:b/>
                <w:sz w:val="24"/>
                <w:lang w:bidi="he-IL"/>
              </w:rPr>
            </w:pPr>
            <w:r>
              <w:rPr>
                <w:b/>
                <w:sz w:val="24"/>
                <w:lang w:bidi="he-IL"/>
              </w:rPr>
              <w:t>Total Number of Responses</w:t>
            </w:r>
          </w:p>
          <w:p w14:paraId="72718B9A" w14:textId="77777777" w:rsidR="008E09A8" w:rsidRDefault="008E09A8">
            <w:pPr>
              <w:jc w:val="center"/>
              <w:rPr>
                <w:b/>
                <w:sz w:val="24"/>
                <w:lang w:bidi="he-IL"/>
              </w:rPr>
            </w:pPr>
            <w:r>
              <w:rPr>
                <w:b/>
                <w:sz w:val="24"/>
                <w:lang w:bidi="he-IL"/>
              </w:rPr>
              <w:t>(1)*(2)=(3)</w:t>
            </w: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718B9B" w14:textId="77777777" w:rsidR="008E09A8" w:rsidRDefault="008E09A8">
            <w:pPr>
              <w:jc w:val="center"/>
              <w:rPr>
                <w:b/>
                <w:sz w:val="24"/>
                <w:lang w:bidi="he-IL"/>
              </w:rPr>
            </w:pPr>
            <w:r>
              <w:rPr>
                <w:b/>
                <w:sz w:val="24"/>
                <w:lang w:bidi="he-IL"/>
              </w:rPr>
              <w:t xml:space="preserve">Avg. Burden &amp; Cost Per Response </w:t>
            </w:r>
          </w:p>
          <w:p w14:paraId="72718B9C" w14:textId="77777777" w:rsidR="008E09A8" w:rsidRDefault="008E09A8">
            <w:pPr>
              <w:jc w:val="center"/>
              <w:rPr>
                <w:b/>
                <w:sz w:val="24"/>
                <w:lang w:bidi="he-IL"/>
              </w:rPr>
            </w:pPr>
            <w:r>
              <w:rPr>
                <w:b/>
                <w:sz w:val="24"/>
                <w:lang w:bidi="he-IL"/>
              </w:rPr>
              <w:t>(4)</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718B9D" w14:textId="77777777" w:rsidR="008E09A8" w:rsidRDefault="008E09A8">
            <w:pPr>
              <w:jc w:val="center"/>
              <w:rPr>
                <w:b/>
                <w:sz w:val="24"/>
                <w:lang w:bidi="he-IL"/>
              </w:rPr>
            </w:pPr>
            <w:r>
              <w:rPr>
                <w:b/>
                <w:sz w:val="24"/>
                <w:lang w:bidi="he-IL"/>
              </w:rPr>
              <w:t>Total Annual Burden Hours &amp; Total Annual Cost</w:t>
            </w:r>
          </w:p>
          <w:p w14:paraId="72718B9E" w14:textId="77777777" w:rsidR="008E09A8" w:rsidRDefault="008E09A8">
            <w:pPr>
              <w:jc w:val="center"/>
              <w:rPr>
                <w:b/>
                <w:sz w:val="24"/>
                <w:lang w:bidi="he-IL"/>
              </w:rPr>
            </w:pPr>
            <w:r>
              <w:rPr>
                <w:b/>
                <w:sz w:val="24"/>
                <w:lang w:bidi="he-IL"/>
              </w:rPr>
              <w:t>(3)*(4)=(5)</w:t>
            </w: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718B9F" w14:textId="77777777" w:rsidR="008E09A8" w:rsidRDefault="008E09A8">
            <w:pPr>
              <w:jc w:val="center"/>
              <w:rPr>
                <w:b/>
                <w:sz w:val="24"/>
                <w:lang w:bidi="he-IL"/>
              </w:rPr>
            </w:pPr>
            <w:r>
              <w:rPr>
                <w:b/>
                <w:sz w:val="24"/>
                <w:lang w:bidi="he-IL"/>
              </w:rPr>
              <w:t>Cost per Respondent</w:t>
            </w:r>
            <w:r>
              <w:rPr>
                <w:rStyle w:val="FootnoteReference"/>
                <w:sz w:val="24"/>
                <w:szCs w:val="24"/>
                <w:lang w:bidi="he-IL"/>
              </w:rPr>
              <w:footnoteReference w:id="24"/>
            </w:r>
          </w:p>
          <w:p w14:paraId="72718BA0" w14:textId="77777777" w:rsidR="008E09A8" w:rsidRDefault="008E09A8">
            <w:pPr>
              <w:jc w:val="center"/>
              <w:rPr>
                <w:b/>
                <w:sz w:val="24"/>
                <w:lang w:bidi="he-IL"/>
              </w:rPr>
            </w:pPr>
            <w:r>
              <w:rPr>
                <w:b/>
                <w:sz w:val="24"/>
                <w:lang w:bidi="he-IL"/>
              </w:rPr>
              <w:t>(5)÷(1)</w:t>
            </w:r>
          </w:p>
        </w:tc>
      </w:tr>
      <w:tr w:rsidR="008E09A8" w14:paraId="72718BA9" w14:textId="77777777" w:rsidTr="0090724A">
        <w:trPr>
          <w:cantSplit/>
        </w:trPr>
        <w:tc>
          <w:tcPr>
            <w:tcW w:w="1320" w:type="dxa"/>
            <w:tcBorders>
              <w:top w:val="single" w:sz="4" w:space="0" w:color="auto"/>
              <w:left w:val="single" w:sz="4" w:space="0" w:color="auto"/>
              <w:bottom w:val="single" w:sz="4" w:space="0" w:color="auto"/>
              <w:right w:val="single" w:sz="4" w:space="0" w:color="auto"/>
            </w:tcBorders>
            <w:hideMark/>
          </w:tcPr>
          <w:p w14:paraId="72718BA2" w14:textId="77777777" w:rsidR="008E09A8" w:rsidRDefault="008E09A8">
            <w:pPr>
              <w:spacing w:after="120"/>
              <w:rPr>
                <w:sz w:val="24"/>
                <w:lang w:bidi="he-IL"/>
              </w:rPr>
            </w:pPr>
            <w:r>
              <w:rPr>
                <w:sz w:val="24"/>
                <w:lang w:bidi="he-IL"/>
              </w:rPr>
              <w:t>(One-time) Review &amp; documentation of methodology for TFC or TTC and TRM</w:t>
            </w:r>
          </w:p>
        </w:tc>
        <w:tc>
          <w:tcPr>
            <w:tcW w:w="1537" w:type="dxa"/>
            <w:tcBorders>
              <w:top w:val="single" w:sz="4" w:space="0" w:color="auto"/>
              <w:left w:val="single" w:sz="4" w:space="0" w:color="auto"/>
              <w:bottom w:val="single" w:sz="4" w:space="0" w:color="auto"/>
              <w:right w:val="single" w:sz="4" w:space="0" w:color="auto"/>
            </w:tcBorders>
            <w:vAlign w:val="bottom"/>
            <w:hideMark/>
          </w:tcPr>
          <w:p w14:paraId="72718BA3" w14:textId="77777777" w:rsidR="008E09A8" w:rsidRDefault="008E09A8">
            <w:pPr>
              <w:pStyle w:val="BodyText"/>
              <w:jc w:val="right"/>
              <w:rPr>
                <w:sz w:val="24"/>
                <w:lang w:bidi="he-IL"/>
              </w:rPr>
            </w:pPr>
            <w:r>
              <w:rPr>
                <w:sz w:val="24"/>
                <w:lang w:bidi="he-IL"/>
              </w:rPr>
              <w:t xml:space="preserve">170 (TOP) </w:t>
            </w:r>
          </w:p>
        </w:tc>
        <w:tc>
          <w:tcPr>
            <w:tcW w:w="1444" w:type="dxa"/>
            <w:tcBorders>
              <w:top w:val="single" w:sz="4" w:space="0" w:color="auto"/>
              <w:left w:val="single" w:sz="4" w:space="0" w:color="auto"/>
              <w:bottom w:val="single" w:sz="4" w:space="0" w:color="auto"/>
              <w:right w:val="single" w:sz="4" w:space="0" w:color="auto"/>
            </w:tcBorders>
            <w:vAlign w:val="bottom"/>
            <w:hideMark/>
          </w:tcPr>
          <w:p w14:paraId="72718BA4" w14:textId="77777777" w:rsidR="008E09A8" w:rsidRDefault="008E09A8">
            <w:pPr>
              <w:spacing w:after="120"/>
              <w:jc w:val="right"/>
              <w:rPr>
                <w:sz w:val="24"/>
                <w:lang w:bidi="he-IL"/>
              </w:rPr>
            </w:pPr>
            <w:r>
              <w:rPr>
                <w:sz w:val="24"/>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72718BA5" w14:textId="77777777" w:rsidR="008E09A8" w:rsidRDefault="008E09A8">
            <w:pPr>
              <w:pStyle w:val="BodyText"/>
              <w:jc w:val="right"/>
              <w:rPr>
                <w:sz w:val="24"/>
                <w:lang w:bidi="he-IL"/>
              </w:rPr>
            </w:pPr>
            <w:r>
              <w:rPr>
                <w:sz w:val="24"/>
                <w:lang w:bidi="he-IL"/>
              </w:rPr>
              <w:t>170</w:t>
            </w:r>
          </w:p>
        </w:tc>
        <w:tc>
          <w:tcPr>
            <w:tcW w:w="1937" w:type="dxa"/>
            <w:tcBorders>
              <w:top w:val="single" w:sz="4" w:space="0" w:color="auto"/>
              <w:left w:val="single" w:sz="4" w:space="0" w:color="auto"/>
              <w:bottom w:val="single" w:sz="4" w:space="0" w:color="auto"/>
              <w:right w:val="single" w:sz="4" w:space="0" w:color="auto"/>
            </w:tcBorders>
            <w:vAlign w:val="bottom"/>
            <w:hideMark/>
          </w:tcPr>
          <w:p w14:paraId="72718BA6" w14:textId="77777777" w:rsidR="008E09A8" w:rsidRDefault="008E09A8">
            <w:pPr>
              <w:pStyle w:val="BodyText"/>
              <w:jc w:val="right"/>
              <w:rPr>
                <w:sz w:val="24"/>
                <w:lang w:bidi="he-IL"/>
              </w:rPr>
            </w:pPr>
            <w:r>
              <w:rPr>
                <w:sz w:val="24"/>
                <w:lang w:bidi="he-IL"/>
              </w:rPr>
              <w:t xml:space="preserve">20 hrs. &amp; $1192  </w:t>
            </w:r>
          </w:p>
        </w:tc>
        <w:tc>
          <w:tcPr>
            <w:tcW w:w="1927" w:type="dxa"/>
            <w:tcBorders>
              <w:top w:val="single" w:sz="4" w:space="0" w:color="auto"/>
              <w:left w:val="single" w:sz="4" w:space="0" w:color="auto"/>
              <w:bottom w:val="single" w:sz="4" w:space="0" w:color="auto"/>
              <w:right w:val="single" w:sz="4" w:space="0" w:color="auto"/>
            </w:tcBorders>
            <w:vAlign w:val="bottom"/>
            <w:hideMark/>
          </w:tcPr>
          <w:p w14:paraId="72718BA7" w14:textId="77777777" w:rsidR="008E09A8" w:rsidRDefault="008E09A8">
            <w:pPr>
              <w:pStyle w:val="BodyText"/>
              <w:jc w:val="right"/>
              <w:rPr>
                <w:sz w:val="24"/>
                <w:lang w:bidi="he-IL"/>
              </w:rPr>
            </w:pPr>
            <w:r>
              <w:rPr>
                <w:sz w:val="24"/>
                <w:lang w:bidi="he-IL"/>
              </w:rPr>
              <w:t>3,400 hours &amp;   $202,708</w:t>
            </w:r>
          </w:p>
        </w:tc>
        <w:tc>
          <w:tcPr>
            <w:tcW w:w="1604" w:type="dxa"/>
            <w:tcBorders>
              <w:top w:val="single" w:sz="4" w:space="0" w:color="auto"/>
              <w:left w:val="single" w:sz="4" w:space="0" w:color="auto"/>
              <w:bottom w:val="single" w:sz="4" w:space="0" w:color="auto"/>
              <w:right w:val="single" w:sz="4" w:space="0" w:color="auto"/>
            </w:tcBorders>
            <w:vAlign w:val="bottom"/>
            <w:hideMark/>
          </w:tcPr>
          <w:p w14:paraId="72718BA8" w14:textId="77777777" w:rsidR="008E09A8" w:rsidRDefault="008E09A8">
            <w:pPr>
              <w:spacing w:after="120"/>
              <w:jc w:val="right"/>
              <w:rPr>
                <w:sz w:val="24"/>
                <w:lang w:bidi="he-IL"/>
              </w:rPr>
            </w:pPr>
            <w:r>
              <w:rPr>
                <w:sz w:val="24"/>
                <w:lang w:bidi="he-IL"/>
              </w:rPr>
              <w:t>$1192</w:t>
            </w:r>
          </w:p>
        </w:tc>
      </w:tr>
      <w:tr w:rsidR="008E09A8" w14:paraId="72718BB1" w14:textId="77777777" w:rsidTr="0090724A">
        <w:trPr>
          <w:cantSplit/>
        </w:trPr>
        <w:tc>
          <w:tcPr>
            <w:tcW w:w="1320" w:type="dxa"/>
            <w:tcBorders>
              <w:top w:val="single" w:sz="4" w:space="0" w:color="auto"/>
              <w:left w:val="single" w:sz="4" w:space="0" w:color="auto"/>
              <w:bottom w:val="single" w:sz="4" w:space="0" w:color="auto"/>
              <w:right w:val="single" w:sz="4" w:space="0" w:color="auto"/>
            </w:tcBorders>
            <w:hideMark/>
          </w:tcPr>
          <w:p w14:paraId="72718BAA" w14:textId="77777777" w:rsidR="008E09A8" w:rsidRDefault="008E09A8">
            <w:pPr>
              <w:spacing w:after="120"/>
              <w:rPr>
                <w:sz w:val="24"/>
                <w:lang w:bidi="he-IL"/>
              </w:rPr>
            </w:pPr>
            <w:r>
              <w:rPr>
                <w:sz w:val="24"/>
                <w:lang w:bidi="he-IL"/>
              </w:rPr>
              <w:lastRenderedPageBreak/>
              <w:t>(One-time) Review &amp; documentation of methodology for AFC or ATC and CBM</w:t>
            </w:r>
          </w:p>
        </w:tc>
        <w:tc>
          <w:tcPr>
            <w:tcW w:w="1537" w:type="dxa"/>
            <w:tcBorders>
              <w:top w:val="single" w:sz="4" w:space="0" w:color="auto"/>
              <w:left w:val="single" w:sz="4" w:space="0" w:color="auto"/>
              <w:bottom w:val="single" w:sz="4" w:space="0" w:color="auto"/>
              <w:right w:val="single" w:sz="4" w:space="0" w:color="auto"/>
            </w:tcBorders>
            <w:vAlign w:val="bottom"/>
            <w:hideMark/>
          </w:tcPr>
          <w:p w14:paraId="72718BAB" w14:textId="77777777" w:rsidR="008E09A8" w:rsidRDefault="008E09A8">
            <w:pPr>
              <w:pStyle w:val="BodyText"/>
              <w:jc w:val="right"/>
              <w:rPr>
                <w:sz w:val="24"/>
                <w:lang w:bidi="he-IL"/>
              </w:rPr>
            </w:pPr>
            <w:r>
              <w:rPr>
                <w:sz w:val="24"/>
                <w:lang w:bidi="he-IL"/>
              </w:rPr>
              <w:t xml:space="preserve">93 (TSP) </w:t>
            </w:r>
          </w:p>
        </w:tc>
        <w:tc>
          <w:tcPr>
            <w:tcW w:w="1444" w:type="dxa"/>
            <w:tcBorders>
              <w:top w:val="single" w:sz="4" w:space="0" w:color="auto"/>
              <w:left w:val="single" w:sz="4" w:space="0" w:color="auto"/>
              <w:bottom w:val="single" w:sz="4" w:space="0" w:color="auto"/>
              <w:right w:val="single" w:sz="4" w:space="0" w:color="auto"/>
            </w:tcBorders>
            <w:vAlign w:val="bottom"/>
            <w:hideMark/>
          </w:tcPr>
          <w:p w14:paraId="72718BAC" w14:textId="77777777" w:rsidR="008E09A8" w:rsidRDefault="008E09A8">
            <w:pPr>
              <w:spacing w:after="120"/>
              <w:jc w:val="right"/>
              <w:rPr>
                <w:sz w:val="24"/>
                <w:lang w:bidi="he-IL"/>
              </w:rPr>
            </w:pPr>
            <w:r>
              <w:rPr>
                <w:sz w:val="24"/>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72718BAD" w14:textId="77777777" w:rsidR="008E09A8" w:rsidRDefault="008E09A8">
            <w:pPr>
              <w:pStyle w:val="BodyText"/>
              <w:jc w:val="right"/>
              <w:rPr>
                <w:sz w:val="24"/>
                <w:lang w:bidi="he-IL"/>
              </w:rPr>
            </w:pPr>
            <w:r>
              <w:rPr>
                <w:sz w:val="24"/>
                <w:lang w:bidi="he-IL"/>
              </w:rPr>
              <w:t>93</w:t>
            </w:r>
          </w:p>
        </w:tc>
        <w:tc>
          <w:tcPr>
            <w:tcW w:w="1937" w:type="dxa"/>
            <w:tcBorders>
              <w:top w:val="single" w:sz="4" w:space="0" w:color="auto"/>
              <w:left w:val="single" w:sz="4" w:space="0" w:color="auto"/>
              <w:bottom w:val="single" w:sz="4" w:space="0" w:color="auto"/>
              <w:right w:val="single" w:sz="4" w:space="0" w:color="auto"/>
            </w:tcBorders>
            <w:vAlign w:val="bottom"/>
            <w:hideMark/>
          </w:tcPr>
          <w:p w14:paraId="72718BAE" w14:textId="77777777" w:rsidR="008E09A8" w:rsidRDefault="008E09A8">
            <w:pPr>
              <w:pStyle w:val="BodyText"/>
              <w:jc w:val="right"/>
              <w:rPr>
                <w:sz w:val="24"/>
                <w:lang w:bidi="he-IL"/>
              </w:rPr>
            </w:pPr>
            <w:r>
              <w:rPr>
                <w:sz w:val="24"/>
                <w:lang w:bidi="he-IL"/>
              </w:rPr>
              <w:t xml:space="preserve">20 hrs. &amp; $1192  </w:t>
            </w:r>
          </w:p>
        </w:tc>
        <w:tc>
          <w:tcPr>
            <w:tcW w:w="1927" w:type="dxa"/>
            <w:tcBorders>
              <w:top w:val="single" w:sz="4" w:space="0" w:color="auto"/>
              <w:left w:val="single" w:sz="4" w:space="0" w:color="auto"/>
              <w:bottom w:val="single" w:sz="4" w:space="0" w:color="auto"/>
              <w:right w:val="single" w:sz="4" w:space="0" w:color="auto"/>
            </w:tcBorders>
            <w:vAlign w:val="bottom"/>
            <w:hideMark/>
          </w:tcPr>
          <w:p w14:paraId="72718BAF" w14:textId="77777777" w:rsidR="008E09A8" w:rsidRDefault="008E09A8">
            <w:pPr>
              <w:pStyle w:val="BodyText"/>
              <w:jc w:val="right"/>
              <w:rPr>
                <w:sz w:val="24"/>
                <w:lang w:bidi="he-IL"/>
              </w:rPr>
            </w:pPr>
            <w:r>
              <w:rPr>
                <w:sz w:val="24"/>
                <w:lang w:bidi="he-IL"/>
              </w:rPr>
              <w:t>1,860 hours &amp;   $110,893</w:t>
            </w:r>
          </w:p>
        </w:tc>
        <w:tc>
          <w:tcPr>
            <w:tcW w:w="1604" w:type="dxa"/>
            <w:tcBorders>
              <w:top w:val="single" w:sz="4" w:space="0" w:color="auto"/>
              <w:left w:val="single" w:sz="4" w:space="0" w:color="auto"/>
              <w:bottom w:val="single" w:sz="4" w:space="0" w:color="auto"/>
              <w:right w:val="single" w:sz="4" w:space="0" w:color="auto"/>
            </w:tcBorders>
            <w:vAlign w:val="bottom"/>
            <w:hideMark/>
          </w:tcPr>
          <w:p w14:paraId="72718BB0" w14:textId="77777777" w:rsidR="008E09A8" w:rsidRDefault="008E09A8">
            <w:pPr>
              <w:spacing w:after="120"/>
              <w:jc w:val="right"/>
              <w:rPr>
                <w:sz w:val="24"/>
                <w:lang w:bidi="he-IL"/>
              </w:rPr>
            </w:pPr>
            <w:r>
              <w:rPr>
                <w:sz w:val="24"/>
                <w:lang w:bidi="he-IL"/>
              </w:rPr>
              <w:t>$1192</w:t>
            </w:r>
          </w:p>
        </w:tc>
      </w:tr>
      <w:tr w:rsidR="008E09A8" w14:paraId="72718BB9" w14:textId="77777777" w:rsidTr="0090724A">
        <w:trPr>
          <w:cantSplit/>
        </w:trPr>
        <w:tc>
          <w:tcPr>
            <w:tcW w:w="1320" w:type="dxa"/>
            <w:tcBorders>
              <w:top w:val="single" w:sz="4" w:space="0" w:color="auto"/>
              <w:left w:val="single" w:sz="4" w:space="0" w:color="auto"/>
              <w:bottom w:val="single" w:sz="4" w:space="0" w:color="auto"/>
              <w:right w:val="single" w:sz="4" w:space="0" w:color="auto"/>
            </w:tcBorders>
            <w:hideMark/>
          </w:tcPr>
          <w:p w14:paraId="72718BB2" w14:textId="77777777" w:rsidR="008E09A8" w:rsidRDefault="008E09A8">
            <w:pPr>
              <w:spacing w:after="120"/>
              <w:rPr>
                <w:sz w:val="24"/>
                <w:lang w:bidi="he-IL"/>
              </w:rPr>
            </w:pPr>
            <w:r>
              <w:rPr>
                <w:sz w:val="24"/>
                <w:lang w:bidi="he-IL"/>
              </w:rPr>
              <w:t>(On-going) Record retention (of methodology) and requests for data</w:t>
            </w:r>
          </w:p>
        </w:tc>
        <w:tc>
          <w:tcPr>
            <w:tcW w:w="1537" w:type="dxa"/>
            <w:tcBorders>
              <w:top w:val="single" w:sz="4" w:space="0" w:color="auto"/>
              <w:left w:val="single" w:sz="4" w:space="0" w:color="auto"/>
              <w:bottom w:val="single" w:sz="4" w:space="0" w:color="auto"/>
              <w:right w:val="single" w:sz="4" w:space="0" w:color="auto"/>
            </w:tcBorders>
            <w:vAlign w:val="bottom"/>
            <w:hideMark/>
          </w:tcPr>
          <w:p w14:paraId="72718BB3" w14:textId="77777777" w:rsidR="008E09A8" w:rsidRDefault="008E09A8">
            <w:pPr>
              <w:pStyle w:val="BodyText"/>
              <w:jc w:val="right"/>
              <w:rPr>
                <w:sz w:val="24"/>
                <w:lang w:bidi="he-IL"/>
              </w:rPr>
            </w:pPr>
            <w:r>
              <w:rPr>
                <w:sz w:val="24"/>
                <w:lang w:bidi="he-IL"/>
              </w:rPr>
              <w:t>170 (TOP) + 93 (TSP)</w:t>
            </w:r>
            <w:r>
              <w:rPr>
                <w:rStyle w:val="FootnoteReference"/>
                <w:sz w:val="24"/>
                <w:szCs w:val="24"/>
                <w:lang w:bidi="he-IL"/>
              </w:rPr>
              <w:t xml:space="preserve"> </w:t>
            </w:r>
            <w:r>
              <w:rPr>
                <w:rStyle w:val="FootnoteReference"/>
                <w:sz w:val="24"/>
                <w:szCs w:val="24"/>
                <w:lang w:bidi="he-IL"/>
              </w:rPr>
              <w:footnoteReference w:id="25"/>
            </w:r>
          </w:p>
        </w:tc>
        <w:tc>
          <w:tcPr>
            <w:tcW w:w="1444" w:type="dxa"/>
            <w:tcBorders>
              <w:top w:val="single" w:sz="4" w:space="0" w:color="auto"/>
              <w:left w:val="single" w:sz="4" w:space="0" w:color="auto"/>
              <w:bottom w:val="single" w:sz="4" w:space="0" w:color="auto"/>
              <w:right w:val="single" w:sz="4" w:space="0" w:color="auto"/>
            </w:tcBorders>
            <w:vAlign w:val="bottom"/>
            <w:hideMark/>
          </w:tcPr>
          <w:p w14:paraId="72718BB4" w14:textId="77777777" w:rsidR="008E09A8" w:rsidRDefault="008E09A8">
            <w:pPr>
              <w:spacing w:after="120"/>
              <w:jc w:val="right"/>
              <w:rPr>
                <w:sz w:val="24"/>
                <w:lang w:bidi="he-IL"/>
              </w:rPr>
            </w:pPr>
            <w:r>
              <w:rPr>
                <w:sz w:val="24"/>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72718BB5" w14:textId="77777777" w:rsidR="008E09A8" w:rsidRDefault="008E09A8">
            <w:pPr>
              <w:pStyle w:val="BodyText"/>
              <w:jc w:val="right"/>
              <w:rPr>
                <w:sz w:val="24"/>
                <w:lang w:bidi="he-IL"/>
              </w:rPr>
            </w:pPr>
            <w:r>
              <w:rPr>
                <w:sz w:val="24"/>
                <w:lang w:bidi="he-IL"/>
              </w:rPr>
              <w:t>186</w:t>
            </w:r>
          </w:p>
        </w:tc>
        <w:tc>
          <w:tcPr>
            <w:tcW w:w="1937" w:type="dxa"/>
            <w:tcBorders>
              <w:top w:val="single" w:sz="4" w:space="0" w:color="auto"/>
              <w:left w:val="single" w:sz="4" w:space="0" w:color="auto"/>
              <w:bottom w:val="single" w:sz="4" w:space="0" w:color="auto"/>
              <w:right w:val="single" w:sz="4" w:space="0" w:color="auto"/>
            </w:tcBorders>
            <w:vAlign w:val="bottom"/>
            <w:hideMark/>
          </w:tcPr>
          <w:p w14:paraId="72718BB6" w14:textId="77777777" w:rsidR="008E09A8" w:rsidRDefault="008E09A8">
            <w:pPr>
              <w:pStyle w:val="BodyText"/>
              <w:jc w:val="right"/>
              <w:rPr>
                <w:sz w:val="24"/>
                <w:lang w:bidi="he-IL"/>
              </w:rPr>
            </w:pPr>
            <w:r>
              <w:rPr>
                <w:sz w:val="24"/>
                <w:lang w:bidi="he-IL"/>
              </w:rPr>
              <w:t xml:space="preserve">2 hrs. &amp; $57.90  </w:t>
            </w:r>
          </w:p>
        </w:tc>
        <w:tc>
          <w:tcPr>
            <w:tcW w:w="1927" w:type="dxa"/>
            <w:tcBorders>
              <w:top w:val="single" w:sz="4" w:space="0" w:color="auto"/>
              <w:left w:val="single" w:sz="4" w:space="0" w:color="auto"/>
              <w:bottom w:val="single" w:sz="4" w:space="0" w:color="auto"/>
              <w:right w:val="single" w:sz="4" w:space="0" w:color="auto"/>
            </w:tcBorders>
            <w:vAlign w:val="bottom"/>
            <w:hideMark/>
          </w:tcPr>
          <w:p w14:paraId="72718BB7" w14:textId="77777777" w:rsidR="008E09A8" w:rsidRDefault="008E09A8">
            <w:pPr>
              <w:pStyle w:val="BodyText"/>
              <w:jc w:val="right"/>
              <w:rPr>
                <w:sz w:val="24"/>
                <w:lang w:bidi="he-IL"/>
              </w:rPr>
            </w:pPr>
            <w:r>
              <w:rPr>
                <w:sz w:val="24"/>
                <w:lang w:bidi="he-IL"/>
              </w:rPr>
              <w:t>372 hours &amp;</w:t>
            </w:r>
            <w:r>
              <w:rPr>
                <w:sz w:val="24"/>
                <w:lang w:bidi="he-IL"/>
              </w:rPr>
              <w:br/>
              <w:t xml:space="preserve"> $10,769</w:t>
            </w:r>
          </w:p>
        </w:tc>
        <w:tc>
          <w:tcPr>
            <w:tcW w:w="1604" w:type="dxa"/>
            <w:tcBorders>
              <w:top w:val="single" w:sz="4" w:space="0" w:color="auto"/>
              <w:left w:val="single" w:sz="4" w:space="0" w:color="auto"/>
              <w:bottom w:val="single" w:sz="4" w:space="0" w:color="auto"/>
              <w:right w:val="single" w:sz="4" w:space="0" w:color="auto"/>
            </w:tcBorders>
            <w:vAlign w:val="bottom"/>
            <w:hideMark/>
          </w:tcPr>
          <w:p w14:paraId="72718BB8" w14:textId="77777777" w:rsidR="008E09A8" w:rsidRDefault="008E09A8">
            <w:pPr>
              <w:spacing w:after="120"/>
              <w:jc w:val="right"/>
              <w:rPr>
                <w:sz w:val="24"/>
                <w:lang w:bidi="he-IL"/>
              </w:rPr>
            </w:pPr>
            <w:r>
              <w:rPr>
                <w:sz w:val="24"/>
                <w:lang w:bidi="he-IL"/>
              </w:rPr>
              <w:t>$57.90</w:t>
            </w:r>
          </w:p>
        </w:tc>
      </w:tr>
      <w:tr w:rsidR="008E09A8" w14:paraId="72718BC1" w14:textId="77777777" w:rsidTr="0090724A">
        <w:trPr>
          <w:cantSplit/>
        </w:trPr>
        <w:tc>
          <w:tcPr>
            <w:tcW w:w="1320" w:type="dxa"/>
            <w:tcBorders>
              <w:top w:val="single" w:sz="4" w:space="0" w:color="auto"/>
              <w:left w:val="single" w:sz="4" w:space="0" w:color="auto"/>
              <w:bottom w:val="single" w:sz="4" w:space="0" w:color="auto"/>
              <w:right w:val="single" w:sz="4" w:space="0" w:color="auto"/>
            </w:tcBorders>
            <w:hideMark/>
          </w:tcPr>
          <w:p w14:paraId="72718BBA" w14:textId="77777777" w:rsidR="008E09A8" w:rsidRDefault="008E09A8">
            <w:pPr>
              <w:spacing w:after="120"/>
              <w:rPr>
                <w:sz w:val="24"/>
                <w:lang w:bidi="he-IL"/>
              </w:rPr>
            </w:pPr>
            <w:r>
              <w:rPr>
                <w:sz w:val="24"/>
                <w:lang w:bidi="he-IL"/>
              </w:rPr>
              <w:t>(On-going) Retirement of Transmission Planner, Load-Serving Entity, and Balancing Authority applicability</w:t>
            </w:r>
          </w:p>
        </w:tc>
        <w:tc>
          <w:tcPr>
            <w:tcW w:w="1537" w:type="dxa"/>
            <w:tcBorders>
              <w:top w:val="single" w:sz="4" w:space="0" w:color="auto"/>
              <w:left w:val="single" w:sz="4" w:space="0" w:color="auto"/>
              <w:bottom w:val="single" w:sz="4" w:space="0" w:color="auto"/>
              <w:right w:val="single" w:sz="4" w:space="0" w:color="auto"/>
            </w:tcBorders>
            <w:vAlign w:val="bottom"/>
            <w:hideMark/>
          </w:tcPr>
          <w:p w14:paraId="72718BBB" w14:textId="77777777" w:rsidR="008E09A8" w:rsidRDefault="008E09A8">
            <w:pPr>
              <w:pStyle w:val="BodyText"/>
              <w:jc w:val="right"/>
              <w:rPr>
                <w:sz w:val="24"/>
                <w:lang w:bidi="he-IL"/>
              </w:rPr>
            </w:pPr>
            <w:r>
              <w:rPr>
                <w:sz w:val="24"/>
                <w:lang w:bidi="he-IL"/>
              </w:rPr>
              <w:t>180 (TP) + 492 (LSE) + 107 (BA)</w:t>
            </w:r>
            <w:r w:rsidR="00406429">
              <w:rPr>
                <w:rStyle w:val="FootnoteReference"/>
                <w:lang w:bidi="he-IL"/>
              </w:rPr>
              <w:footnoteReference w:id="26"/>
            </w:r>
          </w:p>
        </w:tc>
        <w:tc>
          <w:tcPr>
            <w:tcW w:w="1444" w:type="dxa"/>
            <w:tcBorders>
              <w:top w:val="single" w:sz="4" w:space="0" w:color="auto"/>
              <w:left w:val="single" w:sz="4" w:space="0" w:color="auto"/>
              <w:bottom w:val="single" w:sz="4" w:space="0" w:color="auto"/>
              <w:right w:val="single" w:sz="4" w:space="0" w:color="auto"/>
            </w:tcBorders>
            <w:vAlign w:val="bottom"/>
            <w:hideMark/>
          </w:tcPr>
          <w:p w14:paraId="72718BBC" w14:textId="77777777" w:rsidR="008E09A8" w:rsidRDefault="008E09A8">
            <w:pPr>
              <w:spacing w:after="120"/>
              <w:jc w:val="right"/>
              <w:rPr>
                <w:sz w:val="24"/>
                <w:lang w:bidi="he-IL"/>
              </w:rPr>
            </w:pPr>
            <w:r>
              <w:rPr>
                <w:sz w:val="24"/>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72718BBD" w14:textId="77777777" w:rsidR="008E09A8" w:rsidRDefault="008E09A8">
            <w:pPr>
              <w:pStyle w:val="BodyText"/>
              <w:jc w:val="right"/>
              <w:rPr>
                <w:sz w:val="24"/>
                <w:lang w:bidi="he-IL"/>
              </w:rPr>
            </w:pPr>
            <w:r>
              <w:rPr>
                <w:sz w:val="24"/>
                <w:lang w:bidi="he-IL"/>
              </w:rPr>
              <w:t>-551</w:t>
            </w:r>
          </w:p>
        </w:tc>
        <w:tc>
          <w:tcPr>
            <w:tcW w:w="1937" w:type="dxa"/>
            <w:tcBorders>
              <w:top w:val="single" w:sz="4" w:space="0" w:color="auto"/>
              <w:left w:val="single" w:sz="4" w:space="0" w:color="auto"/>
              <w:bottom w:val="single" w:sz="4" w:space="0" w:color="auto"/>
              <w:right w:val="single" w:sz="4" w:space="0" w:color="auto"/>
            </w:tcBorders>
            <w:vAlign w:val="bottom"/>
            <w:hideMark/>
          </w:tcPr>
          <w:p w14:paraId="72718BBE" w14:textId="77777777" w:rsidR="008E09A8" w:rsidRDefault="008E09A8">
            <w:pPr>
              <w:pStyle w:val="BodyText"/>
              <w:jc w:val="right"/>
              <w:rPr>
                <w:sz w:val="24"/>
                <w:lang w:bidi="he-IL"/>
              </w:rPr>
            </w:pPr>
            <w:r>
              <w:rPr>
                <w:sz w:val="24"/>
                <w:lang w:bidi="he-IL"/>
              </w:rPr>
              <w:t xml:space="preserve">-3 hrs. &amp; -$178.86  </w:t>
            </w:r>
          </w:p>
        </w:tc>
        <w:tc>
          <w:tcPr>
            <w:tcW w:w="1927" w:type="dxa"/>
            <w:tcBorders>
              <w:top w:val="single" w:sz="4" w:space="0" w:color="auto"/>
              <w:left w:val="single" w:sz="4" w:space="0" w:color="auto"/>
              <w:bottom w:val="single" w:sz="4" w:space="0" w:color="auto"/>
              <w:right w:val="single" w:sz="4" w:space="0" w:color="auto"/>
            </w:tcBorders>
            <w:vAlign w:val="bottom"/>
            <w:hideMark/>
          </w:tcPr>
          <w:p w14:paraId="72718BBF" w14:textId="77777777" w:rsidR="008E09A8" w:rsidRDefault="008E09A8">
            <w:pPr>
              <w:pStyle w:val="BodyText"/>
              <w:jc w:val="right"/>
              <w:rPr>
                <w:sz w:val="24"/>
                <w:lang w:bidi="he-IL"/>
              </w:rPr>
            </w:pPr>
            <w:r>
              <w:rPr>
                <w:sz w:val="24"/>
                <w:lang w:bidi="he-IL"/>
              </w:rPr>
              <w:t>-1,653 hours &amp; -$98,551.86</w:t>
            </w:r>
          </w:p>
        </w:tc>
        <w:tc>
          <w:tcPr>
            <w:tcW w:w="1604" w:type="dxa"/>
            <w:tcBorders>
              <w:top w:val="single" w:sz="4" w:space="0" w:color="auto"/>
              <w:left w:val="single" w:sz="4" w:space="0" w:color="auto"/>
              <w:bottom w:val="single" w:sz="4" w:space="0" w:color="auto"/>
              <w:right w:val="single" w:sz="4" w:space="0" w:color="auto"/>
            </w:tcBorders>
            <w:vAlign w:val="bottom"/>
            <w:hideMark/>
          </w:tcPr>
          <w:p w14:paraId="72718BC0" w14:textId="77777777" w:rsidR="008E09A8" w:rsidRDefault="008E09A8">
            <w:pPr>
              <w:spacing w:after="120"/>
              <w:jc w:val="right"/>
              <w:rPr>
                <w:sz w:val="24"/>
                <w:lang w:bidi="he-IL"/>
              </w:rPr>
            </w:pPr>
            <w:r>
              <w:rPr>
                <w:sz w:val="24"/>
                <w:lang w:bidi="he-IL"/>
              </w:rPr>
              <w:t xml:space="preserve">-$178.86  </w:t>
            </w:r>
          </w:p>
        </w:tc>
      </w:tr>
      <w:tr w:rsidR="008E09A8" w14:paraId="72718BC9" w14:textId="77777777" w:rsidTr="0090724A">
        <w:trPr>
          <w:cantSplit/>
        </w:trPr>
        <w:tc>
          <w:tcPr>
            <w:tcW w:w="1320" w:type="dxa"/>
            <w:tcBorders>
              <w:top w:val="single" w:sz="4" w:space="0" w:color="auto"/>
              <w:left w:val="single" w:sz="4" w:space="0" w:color="auto"/>
              <w:bottom w:val="single" w:sz="4" w:space="0" w:color="auto"/>
              <w:right w:val="single" w:sz="4" w:space="0" w:color="auto"/>
            </w:tcBorders>
            <w:hideMark/>
          </w:tcPr>
          <w:p w14:paraId="72718BC2" w14:textId="77777777" w:rsidR="008E09A8" w:rsidRDefault="008E09A8">
            <w:pPr>
              <w:spacing w:after="120"/>
              <w:rPr>
                <w:sz w:val="24"/>
                <w:lang w:bidi="he-IL"/>
              </w:rPr>
            </w:pPr>
            <w:r>
              <w:rPr>
                <w:sz w:val="24"/>
                <w:lang w:bidi="he-IL"/>
              </w:rPr>
              <w:t>(On-going) Retirement of non-reliability function requirements</w:t>
            </w:r>
          </w:p>
        </w:tc>
        <w:tc>
          <w:tcPr>
            <w:tcW w:w="1537" w:type="dxa"/>
            <w:tcBorders>
              <w:top w:val="single" w:sz="4" w:space="0" w:color="auto"/>
              <w:left w:val="single" w:sz="4" w:space="0" w:color="auto"/>
              <w:bottom w:val="single" w:sz="4" w:space="0" w:color="auto"/>
              <w:right w:val="single" w:sz="4" w:space="0" w:color="auto"/>
            </w:tcBorders>
            <w:vAlign w:val="bottom"/>
            <w:hideMark/>
          </w:tcPr>
          <w:p w14:paraId="72718BC3" w14:textId="77777777" w:rsidR="008E09A8" w:rsidRDefault="008E09A8">
            <w:pPr>
              <w:pStyle w:val="BodyText"/>
              <w:jc w:val="right"/>
              <w:rPr>
                <w:sz w:val="24"/>
                <w:lang w:bidi="he-IL"/>
              </w:rPr>
            </w:pPr>
            <w:r>
              <w:rPr>
                <w:sz w:val="24"/>
                <w:lang w:bidi="he-IL"/>
              </w:rPr>
              <w:t>170 (TOP) + 93 (TSP)</w:t>
            </w:r>
          </w:p>
        </w:tc>
        <w:tc>
          <w:tcPr>
            <w:tcW w:w="1444" w:type="dxa"/>
            <w:tcBorders>
              <w:top w:val="single" w:sz="4" w:space="0" w:color="auto"/>
              <w:left w:val="single" w:sz="4" w:space="0" w:color="auto"/>
              <w:bottom w:val="single" w:sz="4" w:space="0" w:color="auto"/>
              <w:right w:val="single" w:sz="4" w:space="0" w:color="auto"/>
            </w:tcBorders>
            <w:vAlign w:val="bottom"/>
            <w:hideMark/>
          </w:tcPr>
          <w:p w14:paraId="72718BC4" w14:textId="77777777" w:rsidR="008E09A8" w:rsidRDefault="008E09A8">
            <w:pPr>
              <w:spacing w:after="120"/>
              <w:jc w:val="right"/>
              <w:rPr>
                <w:sz w:val="24"/>
                <w:lang w:bidi="he-IL"/>
              </w:rPr>
            </w:pPr>
            <w:r>
              <w:rPr>
                <w:sz w:val="24"/>
                <w:lang w:bidi="he-IL"/>
              </w:rPr>
              <w:t>1</w:t>
            </w:r>
          </w:p>
        </w:tc>
        <w:tc>
          <w:tcPr>
            <w:tcW w:w="1327" w:type="dxa"/>
            <w:tcBorders>
              <w:top w:val="single" w:sz="4" w:space="0" w:color="auto"/>
              <w:left w:val="single" w:sz="4" w:space="0" w:color="auto"/>
              <w:bottom w:val="single" w:sz="4" w:space="0" w:color="auto"/>
              <w:right w:val="single" w:sz="4" w:space="0" w:color="auto"/>
            </w:tcBorders>
            <w:vAlign w:val="bottom"/>
            <w:hideMark/>
          </w:tcPr>
          <w:p w14:paraId="72718BC5" w14:textId="77777777" w:rsidR="008E09A8" w:rsidRDefault="008E09A8">
            <w:pPr>
              <w:pStyle w:val="BodyText"/>
              <w:jc w:val="right"/>
              <w:rPr>
                <w:sz w:val="24"/>
                <w:lang w:bidi="he-IL"/>
              </w:rPr>
            </w:pPr>
            <w:r>
              <w:rPr>
                <w:sz w:val="24"/>
                <w:lang w:bidi="he-IL"/>
              </w:rPr>
              <w:t>-186</w:t>
            </w:r>
          </w:p>
        </w:tc>
        <w:tc>
          <w:tcPr>
            <w:tcW w:w="1937" w:type="dxa"/>
            <w:tcBorders>
              <w:top w:val="single" w:sz="4" w:space="0" w:color="auto"/>
              <w:left w:val="single" w:sz="4" w:space="0" w:color="auto"/>
              <w:bottom w:val="single" w:sz="4" w:space="0" w:color="auto"/>
              <w:right w:val="single" w:sz="4" w:space="0" w:color="auto"/>
            </w:tcBorders>
            <w:vAlign w:val="bottom"/>
            <w:hideMark/>
          </w:tcPr>
          <w:p w14:paraId="72718BC6" w14:textId="77777777" w:rsidR="008E09A8" w:rsidRDefault="00406429">
            <w:pPr>
              <w:pStyle w:val="BodyText"/>
              <w:jc w:val="right"/>
              <w:rPr>
                <w:sz w:val="24"/>
                <w:lang w:bidi="he-IL"/>
              </w:rPr>
            </w:pPr>
            <w:r>
              <w:rPr>
                <w:sz w:val="24"/>
                <w:lang w:bidi="he-IL"/>
              </w:rPr>
              <w:t>-16 hrs. &amp; -$953.9</w:t>
            </w:r>
            <w:r w:rsidR="008E09A8">
              <w:rPr>
                <w:sz w:val="24"/>
                <w:lang w:bidi="he-IL"/>
              </w:rPr>
              <w:t>2</w:t>
            </w:r>
          </w:p>
        </w:tc>
        <w:tc>
          <w:tcPr>
            <w:tcW w:w="1927" w:type="dxa"/>
            <w:tcBorders>
              <w:top w:val="single" w:sz="4" w:space="0" w:color="auto"/>
              <w:left w:val="single" w:sz="4" w:space="0" w:color="auto"/>
              <w:bottom w:val="single" w:sz="4" w:space="0" w:color="auto"/>
              <w:right w:val="single" w:sz="4" w:space="0" w:color="auto"/>
            </w:tcBorders>
            <w:vAlign w:val="bottom"/>
            <w:hideMark/>
          </w:tcPr>
          <w:p w14:paraId="72718BC7" w14:textId="77777777" w:rsidR="008E09A8" w:rsidRDefault="008E09A8" w:rsidP="00406429">
            <w:pPr>
              <w:pStyle w:val="BodyText"/>
              <w:jc w:val="right"/>
              <w:rPr>
                <w:sz w:val="24"/>
                <w:lang w:bidi="he-IL"/>
              </w:rPr>
            </w:pPr>
            <w:r>
              <w:rPr>
                <w:sz w:val="24"/>
                <w:lang w:bidi="he-IL"/>
              </w:rPr>
              <w:t xml:space="preserve">-2,976 &amp; </w:t>
            </w:r>
            <w:r w:rsidR="00DE161B">
              <w:rPr>
                <w:sz w:val="24"/>
                <w:lang w:bidi="he-IL"/>
              </w:rPr>
              <w:t>-</w:t>
            </w:r>
            <w:r>
              <w:rPr>
                <w:sz w:val="24"/>
                <w:lang w:bidi="he-IL"/>
              </w:rPr>
              <w:t>$177,429.12</w:t>
            </w:r>
          </w:p>
        </w:tc>
        <w:tc>
          <w:tcPr>
            <w:tcW w:w="1604" w:type="dxa"/>
            <w:tcBorders>
              <w:top w:val="single" w:sz="4" w:space="0" w:color="auto"/>
              <w:left w:val="single" w:sz="4" w:space="0" w:color="auto"/>
              <w:bottom w:val="single" w:sz="4" w:space="0" w:color="auto"/>
              <w:right w:val="single" w:sz="4" w:space="0" w:color="auto"/>
            </w:tcBorders>
            <w:vAlign w:val="bottom"/>
            <w:hideMark/>
          </w:tcPr>
          <w:p w14:paraId="72718BC8" w14:textId="77777777" w:rsidR="008E09A8" w:rsidRDefault="008E09A8">
            <w:pPr>
              <w:spacing w:after="120"/>
              <w:jc w:val="right"/>
              <w:rPr>
                <w:sz w:val="24"/>
                <w:lang w:bidi="he-IL"/>
              </w:rPr>
            </w:pPr>
            <w:r>
              <w:rPr>
                <w:sz w:val="24"/>
                <w:lang w:bidi="he-IL"/>
              </w:rPr>
              <w:t>-$953.52</w:t>
            </w:r>
          </w:p>
        </w:tc>
      </w:tr>
      <w:tr w:rsidR="008E09A8" w14:paraId="72718BD1" w14:textId="77777777" w:rsidTr="0090724A">
        <w:trPr>
          <w:cantSplit/>
        </w:trPr>
        <w:tc>
          <w:tcPr>
            <w:tcW w:w="1320" w:type="dxa"/>
            <w:tcBorders>
              <w:top w:val="single" w:sz="4" w:space="0" w:color="auto"/>
              <w:left w:val="single" w:sz="4" w:space="0" w:color="auto"/>
              <w:bottom w:val="single" w:sz="4" w:space="0" w:color="auto"/>
              <w:right w:val="single" w:sz="4" w:space="0" w:color="auto"/>
            </w:tcBorders>
            <w:hideMark/>
          </w:tcPr>
          <w:p w14:paraId="72718BCA" w14:textId="77777777" w:rsidR="008E09A8" w:rsidRDefault="008E09A8">
            <w:pPr>
              <w:spacing w:after="120"/>
              <w:rPr>
                <w:sz w:val="24"/>
                <w:lang w:bidi="he-IL"/>
              </w:rPr>
            </w:pPr>
            <w:r>
              <w:rPr>
                <w:sz w:val="24"/>
                <w:lang w:bidi="he-IL"/>
              </w:rPr>
              <w:t>TOTAL</w:t>
            </w:r>
          </w:p>
        </w:tc>
        <w:tc>
          <w:tcPr>
            <w:tcW w:w="29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2718BCB" w14:textId="77777777" w:rsidR="008E09A8" w:rsidRDefault="008E09A8">
            <w:pPr>
              <w:spacing w:after="120"/>
              <w:jc w:val="right"/>
              <w:rPr>
                <w:sz w:val="24"/>
                <w:lang w:bidi="he-IL"/>
              </w:rPr>
            </w:pPr>
          </w:p>
        </w:tc>
        <w:tc>
          <w:tcPr>
            <w:tcW w:w="1327" w:type="dxa"/>
            <w:tcBorders>
              <w:top w:val="single" w:sz="4" w:space="0" w:color="auto"/>
              <w:left w:val="single" w:sz="4" w:space="0" w:color="auto"/>
              <w:bottom w:val="single" w:sz="4" w:space="0" w:color="auto"/>
              <w:right w:val="single" w:sz="4" w:space="0" w:color="auto"/>
            </w:tcBorders>
            <w:vAlign w:val="bottom"/>
            <w:hideMark/>
          </w:tcPr>
          <w:p w14:paraId="72718BCC" w14:textId="77777777" w:rsidR="008E09A8" w:rsidRDefault="008E09A8" w:rsidP="00406429">
            <w:pPr>
              <w:pStyle w:val="BodyText"/>
              <w:jc w:val="right"/>
              <w:rPr>
                <w:sz w:val="24"/>
                <w:lang w:bidi="he-IL"/>
              </w:rPr>
            </w:pPr>
            <w:r>
              <w:rPr>
                <w:sz w:val="24"/>
                <w:lang w:bidi="he-IL"/>
              </w:rPr>
              <w:t>-2</w:t>
            </w:r>
            <w:r w:rsidR="00406429">
              <w:rPr>
                <w:sz w:val="24"/>
                <w:lang w:bidi="he-IL"/>
              </w:rPr>
              <w:t>8</w:t>
            </w:r>
            <w:r>
              <w:rPr>
                <w:sz w:val="24"/>
                <w:lang w:bidi="he-IL"/>
              </w:rPr>
              <w:t>8</w:t>
            </w:r>
          </w:p>
        </w:tc>
        <w:tc>
          <w:tcPr>
            <w:tcW w:w="19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2718BCD" w14:textId="77777777" w:rsidR="008E09A8" w:rsidRDefault="008E09A8">
            <w:pPr>
              <w:pStyle w:val="BodyText"/>
              <w:jc w:val="right"/>
              <w:rPr>
                <w:sz w:val="24"/>
                <w:lang w:bidi="he-IL"/>
              </w:rPr>
            </w:pPr>
          </w:p>
        </w:tc>
        <w:tc>
          <w:tcPr>
            <w:tcW w:w="1927" w:type="dxa"/>
            <w:tcBorders>
              <w:top w:val="single" w:sz="4" w:space="0" w:color="auto"/>
              <w:left w:val="single" w:sz="4" w:space="0" w:color="auto"/>
              <w:bottom w:val="single" w:sz="4" w:space="0" w:color="auto"/>
              <w:right w:val="single" w:sz="4" w:space="0" w:color="auto"/>
            </w:tcBorders>
            <w:vAlign w:val="bottom"/>
            <w:hideMark/>
          </w:tcPr>
          <w:p w14:paraId="72718BCE" w14:textId="77777777" w:rsidR="008E09A8" w:rsidRDefault="008E09A8">
            <w:pPr>
              <w:pStyle w:val="BodyText"/>
              <w:jc w:val="right"/>
              <w:rPr>
                <w:sz w:val="24"/>
                <w:lang w:bidi="he-IL"/>
              </w:rPr>
            </w:pPr>
            <w:r>
              <w:rPr>
                <w:sz w:val="24"/>
                <w:lang w:bidi="he-IL"/>
              </w:rPr>
              <w:t>1003</w:t>
            </w:r>
          </w:p>
          <w:p w14:paraId="72718BCF" w14:textId="77777777" w:rsidR="008E09A8" w:rsidRDefault="008E09A8">
            <w:pPr>
              <w:pStyle w:val="BodyText"/>
              <w:jc w:val="right"/>
              <w:rPr>
                <w:sz w:val="24"/>
                <w:lang w:bidi="he-IL"/>
              </w:rPr>
            </w:pPr>
            <w:r>
              <w:rPr>
                <w:sz w:val="24"/>
                <w:lang w:bidi="he-IL"/>
              </w:rPr>
              <w:t>$48,389.02</w:t>
            </w:r>
          </w:p>
        </w:tc>
        <w:tc>
          <w:tcPr>
            <w:tcW w:w="1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2718BD0" w14:textId="77777777" w:rsidR="008E09A8" w:rsidRDefault="008E09A8">
            <w:pPr>
              <w:spacing w:after="120"/>
              <w:jc w:val="right"/>
              <w:rPr>
                <w:sz w:val="24"/>
                <w:lang w:bidi="he-IL"/>
              </w:rPr>
            </w:pPr>
          </w:p>
        </w:tc>
      </w:tr>
    </w:tbl>
    <w:p w14:paraId="72718BD2" w14:textId="77777777" w:rsidR="009C2D7A" w:rsidRDefault="009C2D7A" w:rsidP="009C2D7A">
      <w:pPr>
        <w:pStyle w:val="FERCparanumber"/>
        <w:numPr>
          <w:ilvl w:val="0"/>
          <w:numId w:val="0"/>
        </w:numPr>
        <w:tabs>
          <w:tab w:val="left" w:pos="720"/>
        </w:tabs>
      </w:pPr>
      <w:r>
        <w:br w:type="page"/>
      </w:r>
    </w:p>
    <w:p w14:paraId="72718BD3" w14:textId="77777777" w:rsidR="009C2D7A" w:rsidRDefault="009C2D7A" w:rsidP="009C2D7A">
      <w:pPr>
        <w:keepNext/>
        <w:spacing w:before="240" w:line="480" w:lineRule="auto"/>
        <w:rPr>
          <w:szCs w:val="26"/>
          <w:shd w:val="clear" w:color="auto" w:fill="FFFF00"/>
        </w:rPr>
      </w:pPr>
      <w:r>
        <w:rPr>
          <w:szCs w:val="26"/>
          <w:u w:val="single"/>
        </w:rPr>
        <w:lastRenderedPageBreak/>
        <w:t>Title</w:t>
      </w:r>
      <w:r>
        <w:rPr>
          <w:szCs w:val="26"/>
        </w:rPr>
        <w:t>:  Mandatory Reliability Standards for the Bulk-Power System: MOD Reliability Standards</w:t>
      </w:r>
      <w:r w:rsidR="00AB65B5">
        <w:rPr>
          <w:szCs w:val="26"/>
        </w:rPr>
        <w:t>.</w:t>
      </w:r>
    </w:p>
    <w:p w14:paraId="72718BD4" w14:textId="77777777" w:rsidR="009C2D7A" w:rsidRDefault="009C2D7A" w:rsidP="009C2D7A">
      <w:pPr>
        <w:spacing w:line="480" w:lineRule="auto"/>
        <w:rPr>
          <w:b/>
          <w:szCs w:val="26"/>
        </w:rPr>
      </w:pPr>
      <w:r>
        <w:rPr>
          <w:szCs w:val="26"/>
          <w:u w:val="single"/>
        </w:rPr>
        <w:t>Action</w:t>
      </w:r>
      <w:r>
        <w:rPr>
          <w:szCs w:val="26"/>
        </w:rPr>
        <w:t xml:space="preserve">:  Proposed FERC-725L.  </w:t>
      </w:r>
    </w:p>
    <w:p w14:paraId="72718BD5" w14:textId="77777777" w:rsidR="009C2D7A" w:rsidRDefault="009C2D7A" w:rsidP="009C2D7A">
      <w:pPr>
        <w:spacing w:line="480" w:lineRule="auto"/>
        <w:rPr>
          <w:szCs w:val="26"/>
        </w:rPr>
      </w:pPr>
      <w:r>
        <w:rPr>
          <w:szCs w:val="26"/>
          <w:u w:val="single"/>
        </w:rPr>
        <w:t>OMB Control No</w:t>
      </w:r>
      <w:r>
        <w:rPr>
          <w:szCs w:val="26"/>
        </w:rPr>
        <w:t>:  1902-0261</w:t>
      </w:r>
    </w:p>
    <w:p w14:paraId="72718BD6" w14:textId="77777777" w:rsidR="009C2D7A" w:rsidRDefault="009C2D7A" w:rsidP="009C2D7A">
      <w:pPr>
        <w:spacing w:line="480" w:lineRule="auto"/>
        <w:rPr>
          <w:szCs w:val="26"/>
        </w:rPr>
      </w:pPr>
      <w:r>
        <w:rPr>
          <w:szCs w:val="26"/>
          <w:u w:val="single"/>
        </w:rPr>
        <w:t>Respondents</w:t>
      </w:r>
      <w:r>
        <w:rPr>
          <w:szCs w:val="26"/>
        </w:rPr>
        <w:t>:  Businesses or other for-profit institutions; not-for-profit institutions.</w:t>
      </w:r>
    </w:p>
    <w:p w14:paraId="72718BD7" w14:textId="77777777" w:rsidR="009C2D7A" w:rsidRDefault="009C2D7A" w:rsidP="009C2D7A">
      <w:pPr>
        <w:spacing w:line="480" w:lineRule="auto"/>
        <w:rPr>
          <w:b/>
          <w:szCs w:val="26"/>
        </w:rPr>
      </w:pPr>
      <w:r>
        <w:rPr>
          <w:szCs w:val="26"/>
          <w:u w:val="single"/>
        </w:rPr>
        <w:t>Frequency of Responses</w:t>
      </w:r>
      <w:r>
        <w:rPr>
          <w:szCs w:val="26"/>
        </w:rPr>
        <w:t>:  One-time and ongoing</w:t>
      </w:r>
      <w:r w:rsidR="00AB65B5">
        <w:rPr>
          <w:szCs w:val="26"/>
        </w:rPr>
        <w:t>.</w:t>
      </w:r>
    </w:p>
    <w:p w14:paraId="72718BD8" w14:textId="77777777" w:rsidR="009C2D7A" w:rsidRDefault="009C2D7A" w:rsidP="009C2D7A">
      <w:pPr>
        <w:spacing w:line="480" w:lineRule="auto"/>
        <w:rPr>
          <w:szCs w:val="26"/>
        </w:rPr>
      </w:pPr>
      <w:r>
        <w:rPr>
          <w:szCs w:val="26"/>
          <w:u w:val="single"/>
        </w:rPr>
        <w:t>Necessity of the Information:</w:t>
      </w:r>
      <w:r>
        <w:rPr>
          <w:szCs w:val="26"/>
        </w:rPr>
        <w:t xml:space="preserve">  Reliability Standard MOD-001-2, if adopted, would implement the Congressional mandate of the Energy Policy Act of 2005 to develop mandatory and enforceable Reliability Standards to better ensure the reliability of the nation’s Bulk-Power System.  Specifically, the purpose of the proposed Reliability Standard is to ensure that determinations of </w:t>
      </w:r>
      <w:r w:rsidR="00AB65B5">
        <w:rPr>
          <w:szCs w:val="26"/>
        </w:rPr>
        <w:t xml:space="preserve">ATC </w:t>
      </w:r>
      <w:r>
        <w:rPr>
          <w:szCs w:val="26"/>
        </w:rPr>
        <w:t>are determined in a manner that supports the reliable operation of the Bulk-Power System and that the methodology and data underlying those determinations are disclosed to those registered entities that need such information for reliability purposes.  The proposed Reliability Standard requires entities to maintain records subject to review by the Commission and NERC to ensure compliance with the Reliability Standard.</w:t>
      </w:r>
    </w:p>
    <w:p w14:paraId="72718BD9" w14:textId="77777777" w:rsidR="009C2D7A" w:rsidRDefault="009C2D7A" w:rsidP="009C2D7A">
      <w:pPr>
        <w:spacing w:line="480" w:lineRule="auto"/>
        <w:rPr>
          <w:szCs w:val="26"/>
        </w:rPr>
      </w:pPr>
      <w:r>
        <w:rPr>
          <w:szCs w:val="26"/>
          <w:u w:val="single"/>
        </w:rPr>
        <w:t>Internal Review</w:t>
      </w:r>
      <w:r>
        <w:rPr>
          <w:szCs w:val="26"/>
        </w:rPr>
        <w:t xml:space="preserve">:  The Commission has reviewed the requirements pertaining to the proposed Reliability Standard for the Bulk-Power System and determined that the proposed requirements are necessary to meet the statutory provisions of the Energy Policy Act of 2005.  These requirements conform to the Commission’s plan for efficient information collection, communication and management within the energy industry.  The Commission has assured itself, by means of internal review, that there is specific, </w:t>
      </w:r>
      <w:r>
        <w:rPr>
          <w:szCs w:val="26"/>
        </w:rPr>
        <w:lastRenderedPageBreak/>
        <w:t xml:space="preserve">objective support for the burden estimates associated with the information requirements.  </w:t>
      </w:r>
    </w:p>
    <w:p w14:paraId="72718BDA" w14:textId="77777777" w:rsidR="008E214C" w:rsidRDefault="009C2D7A" w:rsidP="008E214C">
      <w:pPr>
        <w:pStyle w:val="FERCparanumber"/>
        <w:tabs>
          <w:tab w:val="left" w:pos="720"/>
        </w:tabs>
        <w:rPr>
          <w:szCs w:val="26"/>
        </w:rPr>
      </w:pPr>
      <w:r>
        <w:rPr>
          <w:szCs w:val="26"/>
        </w:rPr>
        <w:t>Interested persons may obtain information on the reporting requirements by contacting the following:  Federal Energy Regulatory Commission, 888 First Street, NE, Washington, DC  20426 [Attention:  Ellen Brown, Office of the Executive Director,       e-mail:  DataClearance@ferc.gov, phone:  (202) 502-8663, fax:  (202) 273-0873].</w:t>
      </w:r>
    </w:p>
    <w:p w14:paraId="72718BDB" w14:textId="77777777" w:rsidR="009C2D7A" w:rsidRPr="008E214C" w:rsidRDefault="009C2D7A" w:rsidP="008E214C">
      <w:pPr>
        <w:pStyle w:val="FERCparanumber"/>
        <w:tabs>
          <w:tab w:val="left" w:pos="720"/>
        </w:tabs>
        <w:rPr>
          <w:szCs w:val="26"/>
        </w:rPr>
      </w:pPr>
      <w:r w:rsidRPr="008E214C">
        <w:rPr>
          <w:szCs w:val="26"/>
        </w:rPr>
        <w:t xml:space="preserve">Comments concerning the information collections proposed in this NOPR and the associated burden estimates </w:t>
      </w:r>
      <w:r>
        <w:t>should</w:t>
      </w:r>
      <w:r w:rsidRPr="008E214C">
        <w:rPr>
          <w:szCs w:val="26"/>
        </w:rPr>
        <w:t xml:space="preserve"> be sent to the Commission in these dockets and may also be sent to the Office of Management and Budget, Office of Information and Regulatory Affairs [Attention:  Desk Officer for the Federal Energy Regulatory Commission].  </w:t>
      </w:r>
      <w:r w:rsidRPr="00BE61E5">
        <w:rPr>
          <w:szCs w:val="26"/>
        </w:rPr>
        <w:t>For security reasons</w:t>
      </w:r>
      <w:r w:rsidRPr="008E214C">
        <w:rPr>
          <w:szCs w:val="26"/>
        </w:rPr>
        <w:t>, comments should be sent by e-mail to OMB at the following e-mail address:  oira_submission@omb.eop.gov.  Please reference FERC-725Q and the docket numbers of this Notice of Proposed Rulemaking (Docket No. RM14-7-000) in your submission.</w:t>
      </w:r>
    </w:p>
    <w:p w14:paraId="72718BDC" w14:textId="77777777" w:rsidR="009C2D7A" w:rsidRDefault="009C2D7A" w:rsidP="006429B7">
      <w:pPr>
        <w:pStyle w:val="Heading1"/>
      </w:pPr>
      <w:r>
        <w:t>Regulatory Flexibility Act Certification</w:t>
      </w:r>
    </w:p>
    <w:p w14:paraId="72718BDD" w14:textId="77777777" w:rsidR="009C2D7A" w:rsidRDefault="009C2D7A" w:rsidP="008E214C">
      <w:pPr>
        <w:pStyle w:val="FERCparanumber"/>
        <w:tabs>
          <w:tab w:val="left" w:pos="720"/>
        </w:tabs>
        <w:rPr>
          <w:szCs w:val="26"/>
        </w:rPr>
      </w:pPr>
      <w:r>
        <w:rPr>
          <w:szCs w:val="26"/>
        </w:rPr>
        <w:t>The Regulatory Flexibility Act of 1980 (RFA)</w:t>
      </w:r>
      <w:r>
        <w:rPr>
          <w:b/>
          <w:szCs w:val="26"/>
          <w:vertAlign w:val="superscript"/>
        </w:rPr>
        <w:footnoteReference w:id="27"/>
      </w:r>
      <w:r>
        <w:rPr>
          <w:szCs w:val="26"/>
        </w:rPr>
        <w:t xml:space="preserve"> generally requires a description and analysis of proposed rules that will have significant economic impact on a substantial number of small entities.  The RFA mandates consideration of regulatory alternatives that accomplish the stated objectives of a proposed rule and that minimize any significant economic impact on a substantial number of small entities.  The Small Business Administration’s (SBA’s) Office of Size Standards develops the numerical definition of a </w:t>
      </w:r>
      <w:r>
        <w:rPr>
          <w:szCs w:val="26"/>
        </w:rPr>
        <w:lastRenderedPageBreak/>
        <w:t>small business.</w:t>
      </w:r>
      <w:r>
        <w:rPr>
          <w:b/>
          <w:szCs w:val="26"/>
          <w:vertAlign w:val="superscript"/>
        </w:rPr>
        <w:footnoteReference w:id="28"/>
      </w:r>
      <w:r>
        <w:rPr>
          <w:szCs w:val="26"/>
        </w:rPr>
        <w:t xml:space="preserve">  The SBA recently revised its size standard for electric utilities (effective January 22, 2014) to a standard based on the number of employees, including affiliates (from a standard based on megawatt hours).</w:t>
      </w:r>
      <w:r>
        <w:rPr>
          <w:rStyle w:val="FootnoteReference"/>
        </w:rPr>
        <w:footnoteReference w:id="29"/>
      </w:r>
      <w:r>
        <w:rPr>
          <w:szCs w:val="26"/>
        </w:rPr>
        <w:t xml:space="preserve">  Under SBA’s new size standards, generator owners, distribution providers, and transmission owners likely come under one of the following categories and associated size thresholds:</w:t>
      </w:r>
      <w:r>
        <w:rPr>
          <w:b/>
          <w:szCs w:val="26"/>
          <w:vertAlign w:val="superscript"/>
        </w:rPr>
        <w:footnoteReference w:id="30"/>
      </w:r>
      <w:r>
        <w:rPr>
          <w:szCs w:val="26"/>
        </w:rPr>
        <w:t xml:space="preserve">   </w:t>
      </w:r>
    </w:p>
    <w:p w14:paraId="72718BDE" w14:textId="77777777" w:rsidR="009C2D7A" w:rsidRDefault="009C2D7A" w:rsidP="009C2D7A">
      <w:pPr>
        <w:pStyle w:val="ListParagraph"/>
        <w:numPr>
          <w:ilvl w:val="0"/>
          <w:numId w:val="40"/>
        </w:numPr>
        <w:spacing w:line="480" w:lineRule="auto"/>
        <w:rPr>
          <w:szCs w:val="26"/>
        </w:rPr>
      </w:pPr>
      <w:r>
        <w:rPr>
          <w:szCs w:val="26"/>
        </w:rPr>
        <w:t xml:space="preserve">Hydroelectric power generation, at 500 employees </w:t>
      </w:r>
    </w:p>
    <w:p w14:paraId="72718BDF" w14:textId="77777777" w:rsidR="009C2D7A" w:rsidRDefault="009C2D7A" w:rsidP="009C2D7A">
      <w:pPr>
        <w:pStyle w:val="ListParagraph"/>
        <w:numPr>
          <w:ilvl w:val="0"/>
          <w:numId w:val="40"/>
        </w:numPr>
        <w:tabs>
          <w:tab w:val="left" w:pos="630"/>
        </w:tabs>
        <w:spacing w:line="480" w:lineRule="auto"/>
        <w:rPr>
          <w:szCs w:val="26"/>
        </w:rPr>
      </w:pPr>
      <w:r>
        <w:rPr>
          <w:szCs w:val="26"/>
        </w:rPr>
        <w:tab/>
        <w:t xml:space="preserve">Fossil fuel electric power generation, at 750 employees </w:t>
      </w:r>
    </w:p>
    <w:p w14:paraId="72718BE0" w14:textId="77777777" w:rsidR="009C2D7A" w:rsidRDefault="009C2D7A" w:rsidP="009C2D7A">
      <w:pPr>
        <w:pStyle w:val="ListParagraph"/>
        <w:numPr>
          <w:ilvl w:val="0"/>
          <w:numId w:val="40"/>
        </w:numPr>
        <w:tabs>
          <w:tab w:val="left" w:pos="630"/>
        </w:tabs>
        <w:spacing w:line="480" w:lineRule="auto"/>
        <w:rPr>
          <w:szCs w:val="26"/>
        </w:rPr>
      </w:pPr>
      <w:r>
        <w:rPr>
          <w:szCs w:val="26"/>
        </w:rPr>
        <w:tab/>
        <w:t>Nuclear power generation, at 750 employees</w:t>
      </w:r>
    </w:p>
    <w:p w14:paraId="72718BE1" w14:textId="77777777" w:rsidR="003E5D5B" w:rsidRDefault="009C2D7A" w:rsidP="005C4A00">
      <w:pPr>
        <w:pStyle w:val="ListParagraph"/>
        <w:numPr>
          <w:ilvl w:val="0"/>
          <w:numId w:val="40"/>
        </w:numPr>
        <w:spacing w:after="240"/>
        <w:rPr>
          <w:szCs w:val="26"/>
        </w:rPr>
      </w:pPr>
      <w:r>
        <w:rPr>
          <w:szCs w:val="26"/>
        </w:rPr>
        <w:t xml:space="preserve">Other electric power generation (e.g. solar, wind, geothermal, and others), at </w:t>
      </w:r>
      <w:r w:rsidR="00082A57">
        <w:rPr>
          <w:szCs w:val="26"/>
        </w:rPr>
        <w:t xml:space="preserve">    </w:t>
      </w:r>
      <w:r>
        <w:rPr>
          <w:szCs w:val="26"/>
        </w:rPr>
        <w:t>250 employees</w:t>
      </w:r>
    </w:p>
    <w:p w14:paraId="72718BE2" w14:textId="77777777" w:rsidR="005C4A00" w:rsidRPr="005C4A00" w:rsidRDefault="005C4A00" w:rsidP="005C4A00">
      <w:pPr>
        <w:pStyle w:val="ListParagraph"/>
        <w:spacing w:after="240"/>
        <w:rPr>
          <w:szCs w:val="26"/>
        </w:rPr>
      </w:pPr>
    </w:p>
    <w:p w14:paraId="72718BE3" w14:textId="77777777" w:rsidR="009C2D7A" w:rsidRDefault="009C2D7A" w:rsidP="009C2D7A">
      <w:pPr>
        <w:pStyle w:val="ListParagraph"/>
        <w:numPr>
          <w:ilvl w:val="0"/>
          <w:numId w:val="40"/>
        </w:numPr>
        <w:tabs>
          <w:tab w:val="left" w:pos="630"/>
        </w:tabs>
        <w:spacing w:line="480" w:lineRule="auto"/>
        <w:rPr>
          <w:szCs w:val="26"/>
        </w:rPr>
      </w:pPr>
      <w:r>
        <w:rPr>
          <w:szCs w:val="26"/>
        </w:rPr>
        <w:tab/>
        <w:t>Electric bulk power transmission and control, at 500 employees</w:t>
      </w:r>
    </w:p>
    <w:p w14:paraId="72718BE4" w14:textId="77777777" w:rsidR="009C2D7A" w:rsidRDefault="009C2D7A" w:rsidP="009C2D7A">
      <w:pPr>
        <w:pStyle w:val="ListParagraph"/>
        <w:numPr>
          <w:ilvl w:val="0"/>
          <w:numId w:val="40"/>
        </w:numPr>
        <w:tabs>
          <w:tab w:val="left" w:pos="630"/>
        </w:tabs>
        <w:spacing w:line="480" w:lineRule="auto"/>
        <w:rPr>
          <w:szCs w:val="26"/>
        </w:rPr>
      </w:pPr>
      <w:r>
        <w:rPr>
          <w:szCs w:val="26"/>
        </w:rPr>
        <w:tab/>
        <w:t xml:space="preserve">Electric power distribution, at 1,000 employees. </w:t>
      </w:r>
    </w:p>
    <w:p w14:paraId="72718BE5" w14:textId="77777777" w:rsidR="008E214C" w:rsidRDefault="009C2D7A" w:rsidP="008E214C">
      <w:pPr>
        <w:pStyle w:val="FERCparanumber"/>
        <w:tabs>
          <w:tab w:val="left" w:pos="720"/>
        </w:tabs>
        <w:rPr>
          <w:szCs w:val="26"/>
        </w:rPr>
      </w:pPr>
      <w:r>
        <w:rPr>
          <w:szCs w:val="26"/>
        </w:rPr>
        <w:t>Based on U.S. economic census data,</w:t>
      </w:r>
      <w:r>
        <w:rPr>
          <w:rStyle w:val="FootnoteReference"/>
        </w:rPr>
        <w:footnoteReference w:id="31"/>
      </w:r>
      <w:r>
        <w:rPr>
          <w:szCs w:val="26"/>
        </w:rPr>
        <w:t xml:space="preserve"> the approximate percentages of small firms in the </w:t>
      </w:r>
      <w:r w:rsidR="005C1478">
        <w:rPr>
          <w:szCs w:val="26"/>
        </w:rPr>
        <w:t xml:space="preserve">above </w:t>
      </w:r>
      <w:r>
        <w:rPr>
          <w:szCs w:val="26"/>
        </w:rPr>
        <w:t>categories varies from 24 percent to 94 percent.  However, currently the Commission does not have information on how the economic census data compare with entities registered with NERC and is unable to estimate the number of small transmission service providers and transmission operators using the new SBA definitions.</w:t>
      </w:r>
      <w:r w:rsidR="002F515E">
        <w:rPr>
          <w:szCs w:val="26"/>
        </w:rPr>
        <w:t xml:space="preserve">  </w:t>
      </w:r>
      <w:r>
        <w:rPr>
          <w:szCs w:val="26"/>
        </w:rPr>
        <w:t xml:space="preserve">Regardless, </w:t>
      </w:r>
      <w:r>
        <w:rPr>
          <w:szCs w:val="26"/>
        </w:rPr>
        <w:lastRenderedPageBreak/>
        <w:t>the Commission recognizes that the rule will likely impact small transmission service providers and transmission operators and estimates the economic impact on each entity below.</w:t>
      </w:r>
    </w:p>
    <w:p w14:paraId="72718BE6" w14:textId="77777777" w:rsidR="008E214C" w:rsidRDefault="009C2D7A" w:rsidP="008E214C">
      <w:pPr>
        <w:pStyle w:val="FERCparanumber"/>
        <w:tabs>
          <w:tab w:val="left" w:pos="720"/>
        </w:tabs>
        <w:rPr>
          <w:szCs w:val="26"/>
        </w:rPr>
      </w:pPr>
      <w:r w:rsidRPr="008E214C">
        <w:rPr>
          <w:szCs w:val="26"/>
        </w:rPr>
        <w:t>Proposed Reliability Standard MOD-001-2</w:t>
      </w:r>
      <w:r>
        <w:t xml:space="preserve"> </w:t>
      </w:r>
      <w:r w:rsidRPr="008E214C">
        <w:rPr>
          <w:szCs w:val="26"/>
        </w:rPr>
        <w:t xml:space="preserve">will serve to enhance reliability by imposing mandatory requirements governing total flowgate capability or total transfer capability and AFC or ATC methodologies, as well as </w:t>
      </w:r>
      <w:r w:rsidR="002F515E">
        <w:rPr>
          <w:szCs w:val="26"/>
        </w:rPr>
        <w:t>capacity benefit margin and transmission reliability margin</w:t>
      </w:r>
      <w:r w:rsidRPr="008E214C">
        <w:rPr>
          <w:szCs w:val="26"/>
        </w:rPr>
        <w:t xml:space="preserve"> methodologies, to be used in modeling.  The Commission estimates that each of the small entities to whom proposed Reliability Standard MOD-001-2 applies will incur one-time compliance costs of $1,192 (i.e.</w:t>
      </w:r>
      <w:r w:rsidRPr="008E214C">
        <w:rPr>
          <w:i/>
          <w:szCs w:val="26"/>
        </w:rPr>
        <w:t xml:space="preserve"> </w:t>
      </w:r>
      <w:r>
        <w:t xml:space="preserve">the cost of drafting methodologies), plus </w:t>
      </w:r>
      <w:r w:rsidRPr="008E214C">
        <w:rPr>
          <w:szCs w:val="26"/>
        </w:rPr>
        <w:t>paperwork and record retention costs of $57.90 (annual ongoing).</w:t>
      </w:r>
      <w:r>
        <w:rPr>
          <w:rStyle w:val="FootnoteReference"/>
        </w:rPr>
        <w:footnoteReference w:id="32"/>
      </w:r>
      <w:r w:rsidRPr="008E214C">
        <w:rPr>
          <w:szCs w:val="26"/>
        </w:rPr>
        <w:t xml:space="preserve">  Per entity, the total one-time implementation costs are estimated to be $1,192 (including paperwork and non-paperwork costs) and the annual ongoing costs are estimated to be $57.90.</w:t>
      </w:r>
      <w:r w:rsidR="00D0555F">
        <w:rPr>
          <w:szCs w:val="26"/>
        </w:rPr>
        <w:t xml:space="preserve">  </w:t>
      </w:r>
    </w:p>
    <w:p w14:paraId="72718BE7" w14:textId="77777777" w:rsidR="002F7F84" w:rsidRPr="00DC221F" w:rsidRDefault="008E09A8" w:rsidP="0090724A">
      <w:pPr>
        <w:pStyle w:val="FERCparanumber"/>
        <w:rPr>
          <w:szCs w:val="26"/>
        </w:rPr>
      </w:pPr>
      <w:r>
        <w:t xml:space="preserve">Furthermore, the removal of applicable entities from the </w:t>
      </w:r>
      <w:r w:rsidR="00DC221F">
        <w:t xml:space="preserve">proposed retirement of </w:t>
      </w:r>
      <w:r>
        <w:t>Reliability Standard</w:t>
      </w:r>
      <w:r w:rsidR="00DC221F">
        <w:t>s</w:t>
      </w:r>
      <w:r>
        <w:t xml:space="preserve"> reduces the total burden on transmission providers, load-serving entities, and balancing authorities for an annual savings of $238.48 per entity.</w:t>
      </w:r>
      <w:r w:rsidR="00406429">
        <w:rPr>
          <w:rStyle w:val="FootnoteReference"/>
        </w:rPr>
        <w:footnoteReference w:id="33"/>
      </w:r>
      <w:r w:rsidR="00406429">
        <w:t xml:space="preserve"> </w:t>
      </w:r>
      <w:r>
        <w:t xml:space="preserve">  Additionally, </w:t>
      </w:r>
      <w:r w:rsidR="006776DD">
        <w:t xml:space="preserve">NERC proposes the retirement of </w:t>
      </w:r>
      <w:r>
        <w:t xml:space="preserve">several requirements </w:t>
      </w:r>
      <w:r w:rsidR="00DC221F">
        <w:t xml:space="preserve">because they do </w:t>
      </w:r>
      <w:r>
        <w:t xml:space="preserve">not </w:t>
      </w:r>
      <w:r w:rsidR="00DC221F">
        <w:t>have</w:t>
      </w:r>
      <w:r>
        <w:t xml:space="preserve"> a reliability purpose for the transmission operators and transmission service </w:t>
      </w:r>
      <w:r>
        <w:lastRenderedPageBreak/>
        <w:t xml:space="preserve">providers.  This </w:t>
      </w:r>
      <w:r w:rsidR="003E5D5B">
        <w:t xml:space="preserve">retirement </w:t>
      </w:r>
      <w:r>
        <w:t xml:space="preserve">results in an annual savings of </w:t>
      </w:r>
      <w:r>
        <w:rPr>
          <w:lang w:bidi="he-IL"/>
        </w:rPr>
        <w:t>$1,192.40 per entity</w:t>
      </w:r>
      <w:r w:rsidR="0090724A">
        <w:rPr>
          <w:lang w:bidi="he-IL"/>
        </w:rPr>
        <w:t>.</w:t>
      </w:r>
      <w:r w:rsidR="00DC221F">
        <w:rPr>
          <w:lang w:bidi="he-IL"/>
        </w:rPr>
        <w:t xml:space="preserve">  </w:t>
      </w:r>
      <w:r w:rsidR="009C2D7A" w:rsidRPr="00DC221F">
        <w:rPr>
          <w:szCs w:val="26"/>
        </w:rPr>
        <w:t>The Commission does not consider the estimated costs per small entity to have a significant economic impact on a substantial number of small entities.  Accordingly, the Commission certifies that this NOPR will not have a significant economic impact on a substantial number of small entities.</w:t>
      </w:r>
    </w:p>
    <w:p w14:paraId="72718BE8" w14:textId="77777777" w:rsidR="002F7F84" w:rsidRPr="00443B3D" w:rsidRDefault="002F7F84" w:rsidP="006429B7">
      <w:pPr>
        <w:pStyle w:val="Heading1"/>
        <w:numPr>
          <w:ilvl w:val="0"/>
          <w:numId w:val="27"/>
        </w:numPr>
      </w:pPr>
      <w:r w:rsidRPr="00443B3D">
        <w:t>Environmental Analysis</w:t>
      </w:r>
    </w:p>
    <w:p w14:paraId="72718BE9" w14:textId="77777777" w:rsidR="00067A24" w:rsidRDefault="00067A24" w:rsidP="00067A24">
      <w:pPr>
        <w:pStyle w:val="FERCparanumber"/>
        <w:rPr>
          <w:szCs w:val="26"/>
        </w:rPr>
      </w:pPr>
      <w:r w:rsidRPr="007E6251">
        <w:rPr>
          <w:szCs w:val="26"/>
        </w:rPr>
        <w:t>The Commission is required to prepare an Environmental Assessment or an Environmental Impact Statement for any action that may have a significant adverse effect on the human environment.</w:t>
      </w:r>
      <w:r w:rsidRPr="007E6251">
        <w:rPr>
          <w:rStyle w:val="FootnoteReference"/>
        </w:rPr>
        <w:footnoteReference w:id="34"/>
      </w:r>
      <w:r w:rsidRPr="007E6251">
        <w:rPr>
          <w:szCs w:val="26"/>
        </w:rPr>
        <w:t xml:space="preserve">  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sidRPr="007E6251">
        <w:rPr>
          <w:rStyle w:val="FootnoteReference"/>
        </w:rPr>
        <w:footnoteReference w:id="35"/>
      </w:r>
      <w:r w:rsidRPr="007E6251">
        <w:rPr>
          <w:szCs w:val="26"/>
        </w:rPr>
        <w:t xml:space="preserve">  The actions proposed herein fall within this categorical exclusion in the Commission’s regulations.</w:t>
      </w:r>
    </w:p>
    <w:p w14:paraId="72718BEA" w14:textId="77777777" w:rsidR="002F7F84" w:rsidRPr="00443B3D" w:rsidRDefault="002F7F84" w:rsidP="00B8170D">
      <w:pPr>
        <w:pStyle w:val="Heading1"/>
        <w:numPr>
          <w:ilvl w:val="0"/>
          <w:numId w:val="27"/>
        </w:numPr>
      </w:pPr>
      <w:r w:rsidRPr="00443B3D">
        <w:t>Comment Procedures</w:t>
      </w:r>
    </w:p>
    <w:p w14:paraId="72718BEB" w14:textId="77777777" w:rsidR="002F7F84" w:rsidRDefault="002F7F84" w:rsidP="00B8170D">
      <w:pPr>
        <w:pStyle w:val="FERCparanumber"/>
      </w:pPr>
      <w:r>
        <w:t xml:space="preserve">The Commission invites interested persons to submit comments on the matters and issues proposed in this notice to be adopted, including any related matters or alternative proposals that commenters may wish to discuss.  Comments are due </w:t>
      </w:r>
      <w:r w:rsidRPr="005A7276">
        <w:t>[</w:t>
      </w:r>
      <w:r w:rsidR="00136FF5">
        <w:t xml:space="preserve">Insert date </w:t>
      </w:r>
      <w:r w:rsidR="00067A24" w:rsidRPr="00067A24">
        <w:rPr>
          <w:b/>
        </w:rPr>
        <w:t>60 days</w:t>
      </w:r>
      <w:r w:rsidR="00067A24">
        <w:t xml:space="preserve"> </w:t>
      </w:r>
      <w:r>
        <w:rPr>
          <w:b/>
        </w:rPr>
        <w:t>a</w:t>
      </w:r>
      <w:r w:rsidRPr="00067A24">
        <w:t>ft</w:t>
      </w:r>
      <w:r>
        <w:rPr>
          <w:b/>
        </w:rPr>
        <w:t>er publication in the FEDERAL REGISTER]</w:t>
      </w:r>
      <w:r w:rsidRPr="005A7276">
        <w:t>]</w:t>
      </w:r>
      <w:r>
        <w:t xml:space="preserve">.  Comments must refer to Docket </w:t>
      </w:r>
      <w:r w:rsidR="00744857">
        <w:t xml:space="preserve">         </w:t>
      </w:r>
      <w:r>
        <w:lastRenderedPageBreak/>
        <w:t xml:space="preserve">No. </w:t>
      </w:r>
      <w:r w:rsidR="00067A24">
        <w:t>RM14-7-000</w:t>
      </w:r>
      <w:r>
        <w:t>, and must include the commenter's name, the organization they represent, if applicable, and their address in their comments.</w:t>
      </w:r>
    </w:p>
    <w:p w14:paraId="72718BEC" w14:textId="77777777" w:rsidR="002F7F84" w:rsidRDefault="002F7F84" w:rsidP="00B8170D">
      <w:pPr>
        <w:pStyle w:val="FERCparanumber"/>
      </w:pPr>
      <w:r>
        <w:t xml:space="preserve">The Commission encourages comments to be filed electronically via the eFiling link on the Commission's web site at </w:t>
      </w:r>
      <w:hyperlink r:id="rId16" w:history="1">
        <w:r w:rsidRPr="00000BAF">
          <w:rPr>
            <w:rStyle w:val="Hyperlink"/>
            <w:u w:val="none"/>
          </w:rPr>
          <w:t>http://www.ferc.gov</w:t>
        </w:r>
      </w:hyperlink>
      <w:r>
        <w:t xml:space="preserve">.  </w:t>
      </w:r>
      <w:r w:rsidRPr="00AD4410">
        <w:t>The Commission accepts most standard word processing formats</w:t>
      </w:r>
      <w:r>
        <w:t xml:space="preserve">.  </w:t>
      </w:r>
      <w:r w:rsidRPr="00062A6A">
        <w:t>Documents created electronically using word processing software should be filed in native applications or print-to-PDF format and not in a scanned format.</w:t>
      </w:r>
      <w:r>
        <w:t xml:space="preserve">  </w:t>
      </w:r>
      <w:r w:rsidRPr="00AD4410">
        <w:t>Commenters filing electronically do not need to make a paper filing.</w:t>
      </w:r>
    </w:p>
    <w:p w14:paraId="72718BED" w14:textId="77777777" w:rsidR="002F7F84" w:rsidRPr="00C30627" w:rsidRDefault="002F7F84" w:rsidP="00B8170D">
      <w:pPr>
        <w:pStyle w:val="FERCparanumber"/>
      </w:pPr>
      <w:r w:rsidRPr="00AD4410">
        <w:t xml:space="preserve">Commenters that are not able to file comments electronically must send an original of their comments to: Federal Energy Regulatory Commission, </w:t>
      </w:r>
      <w:r>
        <w:t>Secretary of the Commission</w:t>
      </w:r>
      <w:r w:rsidRPr="00AD4410">
        <w:t>, 888 First Street NE, Washington, DC 20426.</w:t>
      </w:r>
    </w:p>
    <w:p w14:paraId="72718BEE" w14:textId="77777777" w:rsidR="002F7F84" w:rsidRPr="00C30627" w:rsidRDefault="002F7F84" w:rsidP="00B8170D">
      <w:pPr>
        <w:pStyle w:val="FERCparanumber"/>
      </w:pPr>
      <w:r>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72718BEF" w14:textId="77777777" w:rsidR="002F7F84" w:rsidRPr="00443B3D" w:rsidRDefault="002F7F84" w:rsidP="00B8170D">
      <w:pPr>
        <w:pStyle w:val="Heading1"/>
        <w:numPr>
          <w:ilvl w:val="0"/>
          <w:numId w:val="27"/>
        </w:numPr>
      </w:pPr>
      <w:r w:rsidRPr="00443B3D">
        <w:t>Document Availability</w:t>
      </w:r>
    </w:p>
    <w:p w14:paraId="72718BF0" w14:textId="77777777" w:rsidR="002F7F84" w:rsidRDefault="002F7F84" w:rsidP="00B8170D">
      <w:pPr>
        <w:pStyle w:val="FERCparanumber"/>
      </w:pPr>
      <w:r w:rsidRPr="00F53919">
        <w:t xml:space="preserve">In addition to publishing the full text of this document in the Federal Register, the Commission provides all interested persons an opportunity to view and/or print the contents of this document via the Internet through </w:t>
      </w:r>
      <w:r>
        <w:t>the Commission</w:t>
      </w:r>
      <w:r w:rsidRPr="00F53919">
        <w:t>'s Home Page (</w:t>
      </w:r>
      <w:hyperlink r:id="rId17" w:history="1">
        <w:r w:rsidRPr="00D1636E">
          <w:rPr>
            <w:rStyle w:val="Hyperlink"/>
            <w:u w:val="none"/>
          </w:rPr>
          <w:t>http://www.ferc.gov</w:t>
        </w:r>
      </w:hyperlink>
      <w:r w:rsidRPr="00F53919">
        <w:t xml:space="preserve">) and in </w:t>
      </w:r>
      <w:r>
        <w:t>the Commission</w:t>
      </w:r>
      <w:r w:rsidRPr="00F53919">
        <w:t>'s Public Reference Room during normal business hours (8:30 a.m. to 5:00 p.m. Eastern time) at 888 First Street, NE, Room 2A, Washington DC 20426.</w:t>
      </w:r>
    </w:p>
    <w:p w14:paraId="72718BF1" w14:textId="77777777" w:rsidR="002F7F84" w:rsidRDefault="002F7F84" w:rsidP="00B8170D">
      <w:pPr>
        <w:pStyle w:val="FERCparanumber"/>
      </w:pPr>
      <w:r>
        <w:lastRenderedPageBreak/>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14:paraId="72718BF2" w14:textId="77777777" w:rsidR="002F7F84" w:rsidRPr="00C30627" w:rsidRDefault="002F7F84" w:rsidP="00B8170D">
      <w:pPr>
        <w:pStyle w:val="FERCparanumber"/>
      </w:pPr>
      <w:r w:rsidRPr="005449C4">
        <w:t>User assistance is available for eLibrary and the</w:t>
      </w:r>
      <w:r>
        <w:t xml:space="preserve"> Commission</w:t>
      </w:r>
      <w:r w:rsidRPr="005449C4">
        <w:t xml:space="preserve">’s website during normal business hours from </w:t>
      </w:r>
      <w:r>
        <w:t>the Commission’s</w:t>
      </w:r>
      <w:r w:rsidRPr="005449C4">
        <w:t xml:space="preserve"> Online Support at </w:t>
      </w:r>
      <w:r w:rsidR="00B7431C">
        <w:t>(</w:t>
      </w:r>
      <w:r w:rsidRPr="005449C4">
        <w:t>202</w:t>
      </w:r>
      <w:r w:rsidR="00B7431C">
        <w:t xml:space="preserve">) </w:t>
      </w:r>
      <w:r w:rsidRPr="005449C4">
        <w:t xml:space="preserve">502-6652 (toll free at 1-866-208-3676) or email at </w:t>
      </w:r>
      <w:hyperlink r:id="rId18" w:history="1">
        <w:r w:rsidRPr="00213189">
          <w:rPr>
            <w:rStyle w:val="Hyperlink"/>
            <w:u w:val="none"/>
          </w:rPr>
          <w:t>ferconlinesupport@ferc.gov</w:t>
        </w:r>
      </w:hyperlink>
      <w:r w:rsidRPr="005449C4">
        <w:t>, or the Public Reference Room at (202) 502-8371, TTY (202)</w:t>
      </w:r>
      <w:r w:rsidR="00F65078">
        <w:t xml:space="preserve"> </w:t>
      </w:r>
      <w:r w:rsidRPr="005449C4">
        <w:t xml:space="preserve">502-8659.  E-mail the Public Reference Room at </w:t>
      </w:r>
      <w:hyperlink r:id="rId19" w:history="1">
        <w:r w:rsidRPr="00B7431C">
          <w:rPr>
            <w:rStyle w:val="Hyperlink"/>
            <w:u w:val="none"/>
          </w:rPr>
          <w:t>public.referenceroom@ferc.gov</w:t>
        </w:r>
      </w:hyperlink>
      <w:r w:rsidRPr="005449C4">
        <w:t>.</w:t>
      </w:r>
    </w:p>
    <w:p w14:paraId="72718BF3" w14:textId="77777777" w:rsidR="002F7F84" w:rsidRDefault="002F7F84" w:rsidP="00B8170D">
      <w:r>
        <w:t>By direction of the Commission.</w:t>
      </w:r>
    </w:p>
    <w:p w14:paraId="72718BF4" w14:textId="77777777" w:rsidR="00E21ACF" w:rsidRDefault="00E21ACF" w:rsidP="00B8170D"/>
    <w:p w14:paraId="72718BF5" w14:textId="77777777" w:rsidR="00E21ACF" w:rsidRDefault="00E21ACF" w:rsidP="00E21ACF">
      <w:pPr>
        <w:widowControl/>
      </w:pPr>
      <w:r w:rsidRPr="00E21ACF">
        <w:t>( S E A L )</w:t>
      </w:r>
    </w:p>
    <w:p w14:paraId="72718BF6" w14:textId="77777777" w:rsidR="00E21ACF" w:rsidRPr="00E21ACF" w:rsidRDefault="00E21ACF" w:rsidP="00E21ACF">
      <w:pPr>
        <w:widowControl/>
      </w:pPr>
    </w:p>
    <w:p w14:paraId="72718BF7" w14:textId="77777777" w:rsidR="002F7F84" w:rsidRDefault="002F7F84" w:rsidP="00B8170D"/>
    <w:p w14:paraId="72718BF8" w14:textId="77777777" w:rsidR="002F7F84" w:rsidRDefault="002F7F84" w:rsidP="005B7592">
      <w:pPr>
        <w:widowControl/>
      </w:pPr>
      <w:r>
        <w:tab/>
      </w:r>
      <w:r>
        <w:tab/>
      </w:r>
      <w:r>
        <w:tab/>
      </w:r>
      <w:r>
        <w:tab/>
      </w:r>
      <w:r>
        <w:tab/>
      </w:r>
      <w:r>
        <w:tab/>
      </w:r>
    </w:p>
    <w:p w14:paraId="72718BF9" w14:textId="77777777" w:rsidR="005B7592" w:rsidRDefault="005B7592" w:rsidP="005B7592">
      <w:pPr>
        <w:widowControl/>
      </w:pPr>
    </w:p>
    <w:p w14:paraId="72718BFA" w14:textId="77777777" w:rsidR="005B7592" w:rsidRDefault="005B7592" w:rsidP="005B7592">
      <w:pPr>
        <w:widowControl/>
      </w:pPr>
    </w:p>
    <w:p w14:paraId="72718BFB" w14:textId="77777777" w:rsidR="005B7592" w:rsidRPr="005B7592" w:rsidRDefault="005B7592" w:rsidP="005B7592">
      <w:pPr>
        <w:widowControl/>
        <w:ind w:firstLine="2606"/>
        <w:jc w:val="center"/>
      </w:pPr>
      <w:r w:rsidRPr="005B7592">
        <w:t>Nathaniel J. Davis, Sr.,</w:t>
      </w:r>
    </w:p>
    <w:p w14:paraId="72718BFC" w14:textId="77777777" w:rsidR="005B7592" w:rsidRPr="005B7592" w:rsidRDefault="005B7592" w:rsidP="005B7592">
      <w:pPr>
        <w:widowControl/>
        <w:ind w:firstLine="2606"/>
        <w:jc w:val="center"/>
      </w:pPr>
      <w:r w:rsidRPr="005B7592">
        <w:t>Deputy Secretary.</w:t>
      </w:r>
    </w:p>
    <w:p w14:paraId="72718BFD" w14:textId="77777777" w:rsidR="005B7592" w:rsidRDefault="005B7592" w:rsidP="005B7592">
      <w:pPr>
        <w:widowControl/>
      </w:pPr>
    </w:p>
    <w:p w14:paraId="72718BFE" w14:textId="77777777" w:rsidR="002F7F84" w:rsidRDefault="002F7F84" w:rsidP="00B8170D"/>
    <w:p w14:paraId="72718BFF" w14:textId="77777777" w:rsidR="002F7F84" w:rsidRDefault="002F7F84" w:rsidP="00067A24">
      <w:r>
        <w:tab/>
      </w:r>
    </w:p>
    <w:p w14:paraId="72718C00" w14:textId="77777777" w:rsidR="002F7F84" w:rsidRDefault="002F7F84" w:rsidP="00B8170D"/>
    <w:p w14:paraId="72718C01" w14:textId="77777777" w:rsidR="002F7F84" w:rsidRDefault="002F7F84" w:rsidP="00B8170D">
      <w:pPr>
        <w:pStyle w:val="FERCparanumber"/>
        <w:numPr>
          <w:ilvl w:val="0"/>
          <w:numId w:val="0"/>
        </w:numPr>
      </w:pPr>
    </w:p>
    <w:p w14:paraId="72718C02" w14:textId="77777777" w:rsidR="002F7F84" w:rsidRPr="00F9542A" w:rsidRDefault="002F7F84" w:rsidP="00B8170D"/>
    <w:p w14:paraId="72718C03" w14:textId="77777777" w:rsidR="002F7F84" w:rsidRPr="00AF31E6" w:rsidRDefault="002F7F84" w:rsidP="00B8170D"/>
    <w:p w14:paraId="72718C04" w14:textId="77777777" w:rsidR="002F7F84" w:rsidRPr="00435317" w:rsidRDefault="002F7F84" w:rsidP="00B8170D"/>
    <w:p w14:paraId="72718C05" w14:textId="77777777" w:rsidR="008A6F07" w:rsidRPr="002F7F84" w:rsidRDefault="008A6F07" w:rsidP="002F7F84"/>
    <w:sectPr w:rsidR="008A6F07" w:rsidRPr="002F7F84" w:rsidSect="002F7F84">
      <w:headerReference w:type="default" r:id="rId20"/>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00273" w14:textId="77777777" w:rsidR="00762088" w:rsidRDefault="00762088">
      <w:r>
        <w:separator/>
      </w:r>
    </w:p>
  </w:endnote>
  <w:endnote w:type="continuationSeparator" w:id="0">
    <w:p w14:paraId="457B2F8A" w14:textId="77777777" w:rsidR="00762088" w:rsidRDefault="0076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2156D" w14:textId="77777777" w:rsidR="00762088" w:rsidRDefault="00762088">
      <w:r>
        <w:separator/>
      </w:r>
    </w:p>
  </w:footnote>
  <w:footnote w:type="continuationSeparator" w:id="0">
    <w:p w14:paraId="56C74762" w14:textId="77777777" w:rsidR="00762088" w:rsidRDefault="00762088">
      <w:r>
        <w:continuationSeparator/>
      </w:r>
    </w:p>
  </w:footnote>
  <w:footnote w:id="1">
    <w:p w14:paraId="72718C0D" w14:textId="77777777" w:rsidR="00B8170D" w:rsidRDefault="00B8170D" w:rsidP="00B71571">
      <w:pPr>
        <w:pStyle w:val="FootnoteText"/>
      </w:pPr>
      <w:r>
        <w:rPr>
          <w:rStyle w:val="FootnoteReference"/>
        </w:rPr>
        <w:footnoteRef/>
      </w:r>
      <w:r>
        <w:t xml:space="preserve">  </w:t>
      </w:r>
      <w:r>
        <w:rPr>
          <w:szCs w:val="26"/>
        </w:rPr>
        <w:t xml:space="preserve">16 U.S.C. 824o(d) (2012). </w:t>
      </w:r>
      <w:r>
        <w:t xml:space="preserve"> </w:t>
      </w:r>
    </w:p>
  </w:footnote>
  <w:footnote w:id="2">
    <w:p w14:paraId="72718C0E" w14:textId="77777777" w:rsidR="007A42FB" w:rsidRDefault="00B8170D">
      <w:pPr>
        <w:pStyle w:val="FootnoteText"/>
      </w:pPr>
      <w:r>
        <w:rPr>
          <w:rStyle w:val="FootnoteReference"/>
        </w:rPr>
        <w:footnoteRef/>
      </w:r>
      <w:r>
        <w:t xml:space="preserve"> </w:t>
      </w:r>
      <w:r w:rsidR="00E910DF">
        <w:t xml:space="preserve"> </w:t>
      </w:r>
      <w:r w:rsidR="007A42FB">
        <w:rPr>
          <w:i/>
        </w:rPr>
        <w:t>Promoting Wholesale Competition Through Open Access Non-Discriminatory Transmission Services by Public Utilities; Recovery of Stranded Costs by Public Utilities and Transmitting Utilities</w:t>
      </w:r>
      <w:r w:rsidR="007A42FB">
        <w:t xml:space="preserve">, Order No. 888, FERC Stats. &amp; Regs. ¶ 31,036 (1996), </w:t>
      </w:r>
      <w:r w:rsidR="007A42FB">
        <w:rPr>
          <w:i/>
        </w:rPr>
        <w:t>order on reh’g</w:t>
      </w:r>
      <w:r w:rsidR="007A42FB">
        <w:t xml:space="preserve">, Order No. 888-A, FERC Stats. &amp; Regs. ¶ 31,048, </w:t>
      </w:r>
      <w:r w:rsidR="007A42FB" w:rsidRPr="0021697A">
        <w:rPr>
          <w:i/>
        </w:rPr>
        <w:t>order on reh’g</w:t>
      </w:r>
      <w:r w:rsidR="007A42FB">
        <w:t xml:space="preserve">, Order </w:t>
      </w:r>
      <w:r w:rsidR="00B33C92">
        <w:t xml:space="preserve">       </w:t>
      </w:r>
      <w:r w:rsidR="007A42FB">
        <w:t xml:space="preserve">No. 888-B, 81 FERC ¶ 61,248 (1997), </w:t>
      </w:r>
      <w:r w:rsidR="007A42FB" w:rsidRPr="0021697A">
        <w:rPr>
          <w:i/>
        </w:rPr>
        <w:t>order on reh’g</w:t>
      </w:r>
      <w:r w:rsidR="007A42FB">
        <w:t xml:space="preserve">, Order No. 888-C, 82 FERC </w:t>
      </w:r>
      <w:r w:rsidR="00B33C92">
        <w:t xml:space="preserve">          </w:t>
      </w:r>
      <w:r w:rsidR="007A42FB">
        <w:t xml:space="preserve">¶ 61,046 (1998), </w:t>
      </w:r>
      <w:r w:rsidR="007A42FB" w:rsidRPr="0021697A">
        <w:rPr>
          <w:i/>
        </w:rPr>
        <w:t xml:space="preserve">aff’d in relevant part sub nom. Transmission Access Policy </w:t>
      </w:r>
      <w:r w:rsidR="007A42FB">
        <w:rPr>
          <w:i/>
        </w:rPr>
        <w:t xml:space="preserve">Study </w:t>
      </w:r>
      <w:r w:rsidR="007A42FB" w:rsidRPr="0021697A">
        <w:rPr>
          <w:i/>
        </w:rPr>
        <w:t>Group v. FERC</w:t>
      </w:r>
      <w:r w:rsidR="007A42FB">
        <w:t xml:space="preserve">, 225 F.3d 667 (D.C. Cir. 2000), </w:t>
      </w:r>
      <w:r w:rsidR="007A42FB" w:rsidRPr="0021697A">
        <w:rPr>
          <w:i/>
        </w:rPr>
        <w:t>aff’d sub nom. New York v. FERC</w:t>
      </w:r>
      <w:r w:rsidR="007A42FB">
        <w:t xml:space="preserve">, 535 U.S. 1 (2002).  </w:t>
      </w:r>
      <w:r w:rsidR="007A42FB" w:rsidRPr="007A42FB">
        <w:rPr>
          <w:i/>
          <w:iCs/>
          <w:szCs w:val="26"/>
        </w:rPr>
        <w:t>Open Access Same-Time Information System (Formerly Real-Time Information Networks) and Standards of Conduct</w:t>
      </w:r>
      <w:r w:rsidR="007A42FB" w:rsidRPr="007A42FB">
        <w:rPr>
          <w:szCs w:val="26"/>
        </w:rPr>
        <w:t>, Order No. 889, 61 FR 21737 (May 10, 1996), FERC Stats. &amp; Regs. ¶ 31,035</w:t>
      </w:r>
      <w:r w:rsidR="00B33C92">
        <w:rPr>
          <w:szCs w:val="26"/>
        </w:rPr>
        <w:t>,</w:t>
      </w:r>
      <w:r w:rsidR="007A42FB" w:rsidRPr="007A42FB">
        <w:rPr>
          <w:szCs w:val="26"/>
        </w:rPr>
        <w:t xml:space="preserve"> at 31,749 (1996), </w:t>
      </w:r>
      <w:r w:rsidR="007A42FB" w:rsidRPr="007A42FB">
        <w:rPr>
          <w:i/>
          <w:iCs/>
          <w:szCs w:val="26"/>
        </w:rPr>
        <w:t>order on reh’g</w:t>
      </w:r>
      <w:r w:rsidR="007A42FB" w:rsidRPr="007A42FB">
        <w:rPr>
          <w:szCs w:val="26"/>
        </w:rPr>
        <w:t xml:space="preserve">, Order No. 889-A, FERC Stats. &amp; Regs. ¶ 31,049, </w:t>
      </w:r>
      <w:r w:rsidR="007A42FB" w:rsidRPr="007A42FB">
        <w:rPr>
          <w:i/>
          <w:iCs/>
          <w:szCs w:val="26"/>
        </w:rPr>
        <w:t>order on reh’g</w:t>
      </w:r>
      <w:r w:rsidR="007A42FB" w:rsidRPr="007A42FB">
        <w:rPr>
          <w:szCs w:val="26"/>
        </w:rPr>
        <w:t xml:space="preserve">, Order No. 889-B, 81 FERC ¶ 61,253 (1997).  </w:t>
      </w:r>
    </w:p>
  </w:footnote>
  <w:footnote w:id="3">
    <w:p w14:paraId="72718C0F" w14:textId="77777777" w:rsidR="00E910DF" w:rsidRDefault="00B8170D">
      <w:pPr>
        <w:pStyle w:val="FootnoteText"/>
      </w:pPr>
      <w:r>
        <w:rPr>
          <w:rStyle w:val="FootnoteReference"/>
        </w:rPr>
        <w:footnoteRef/>
      </w:r>
      <w:r>
        <w:t xml:space="preserve"> </w:t>
      </w:r>
      <w:r w:rsidR="00E910DF">
        <w:t xml:space="preserve"> </w:t>
      </w:r>
      <w:r w:rsidR="00B004E2">
        <w:rPr>
          <w:i/>
          <w:iCs/>
          <w:szCs w:val="26"/>
        </w:rPr>
        <w:t>Preventing Undue Discrimination and Preference in Transmission Service</w:t>
      </w:r>
      <w:r w:rsidR="00B004E2">
        <w:rPr>
          <w:szCs w:val="26"/>
        </w:rPr>
        <w:t>, Order No. 890, FERC Stats. &amp; Regs. ¶ 31,241, at P</w:t>
      </w:r>
      <w:r w:rsidR="00B33C92">
        <w:rPr>
          <w:szCs w:val="26"/>
        </w:rPr>
        <w:t xml:space="preserve"> </w:t>
      </w:r>
      <w:r w:rsidR="00B004E2">
        <w:rPr>
          <w:szCs w:val="26"/>
        </w:rPr>
        <w:t xml:space="preserve">68, </w:t>
      </w:r>
      <w:r w:rsidR="00B004E2">
        <w:rPr>
          <w:i/>
          <w:iCs/>
          <w:szCs w:val="26"/>
        </w:rPr>
        <w:t>order on reh’g</w:t>
      </w:r>
      <w:r w:rsidR="00B004E2">
        <w:rPr>
          <w:szCs w:val="26"/>
        </w:rPr>
        <w:t xml:space="preserve">, Order No. 890-A, FERC Stats. &amp; Regs. ¶ 31,261 (2007), </w:t>
      </w:r>
      <w:r w:rsidR="00B004E2">
        <w:rPr>
          <w:i/>
          <w:iCs/>
          <w:szCs w:val="26"/>
        </w:rPr>
        <w:t>order on reh’g</w:t>
      </w:r>
      <w:r w:rsidR="00B004E2">
        <w:rPr>
          <w:szCs w:val="26"/>
        </w:rPr>
        <w:t xml:space="preserve">, Order No. 890-B, 123 FERC </w:t>
      </w:r>
      <w:r w:rsidR="00B33C92">
        <w:rPr>
          <w:szCs w:val="26"/>
        </w:rPr>
        <w:t xml:space="preserve">        </w:t>
      </w:r>
      <w:r w:rsidR="00B004E2">
        <w:rPr>
          <w:szCs w:val="26"/>
        </w:rPr>
        <w:t>¶ 61,299 (2008),</w:t>
      </w:r>
      <w:r w:rsidR="00B004E2" w:rsidRPr="007A5343">
        <w:rPr>
          <w:i/>
        </w:rPr>
        <w:t xml:space="preserve"> </w:t>
      </w:r>
      <w:r w:rsidR="00B004E2">
        <w:rPr>
          <w:i/>
        </w:rPr>
        <w:t>order on reh’g</w:t>
      </w:r>
      <w:r w:rsidR="00B004E2">
        <w:t xml:space="preserve">, </w:t>
      </w:r>
      <w:r w:rsidR="00B004E2">
        <w:rPr>
          <w:szCs w:val="26"/>
        </w:rPr>
        <w:t>Order No. 890-C,</w:t>
      </w:r>
      <w:r w:rsidR="00B004E2" w:rsidRPr="00DD6051">
        <w:rPr>
          <w:szCs w:val="26"/>
        </w:rPr>
        <w:t xml:space="preserve"> 126 FERC ¶ 61,228</w:t>
      </w:r>
      <w:r w:rsidR="00B004E2">
        <w:rPr>
          <w:szCs w:val="26"/>
        </w:rPr>
        <w:t xml:space="preserve">, </w:t>
      </w:r>
      <w:r w:rsidR="00B004E2">
        <w:rPr>
          <w:i/>
          <w:szCs w:val="26"/>
        </w:rPr>
        <w:t>order on clarification</w:t>
      </w:r>
      <w:r w:rsidR="00B004E2">
        <w:rPr>
          <w:szCs w:val="26"/>
        </w:rPr>
        <w:t xml:space="preserve">, </w:t>
      </w:r>
      <w:r w:rsidR="00B004E2" w:rsidRPr="00DD6051">
        <w:rPr>
          <w:color w:val="000000"/>
          <w:szCs w:val="26"/>
        </w:rPr>
        <w:t>Order</w:t>
      </w:r>
      <w:r w:rsidR="00B004E2">
        <w:rPr>
          <w:color w:val="000000"/>
          <w:szCs w:val="26"/>
        </w:rPr>
        <w:t xml:space="preserve"> No. </w:t>
      </w:r>
      <w:r w:rsidR="00B004E2" w:rsidRPr="00DD6051">
        <w:rPr>
          <w:color w:val="000000"/>
          <w:szCs w:val="26"/>
        </w:rPr>
        <w:t>890-D, 129 FERC ¶ 61,126 (2009)</w:t>
      </w:r>
      <w:r w:rsidR="00B004E2" w:rsidRPr="00DD6051">
        <w:rPr>
          <w:szCs w:val="26"/>
        </w:rPr>
        <w:t>.</w:t>
      </w:r>
    </w:p>
  </w:footnote>
  <w:footnote w:id="4">
    <w:p w14:paraId="72718C10" w14:textId="77777777" w:rsidR="00B8170D" w:rsidRDefault="00B8170D" w:rsidP="00A06C97">
      <w:pPr>
        <w:pStyle w:val="FootnoteText"/>
      </w:pPr>
      <w:r>
        <w:rPr>
          <w:rStyle w:val="FootnoteReference"/>
        </w:rPr>
        <w:footnoteRef/>
      </w:r>
      <w:r>
        <w:t xml:space="preserve">  </w:t>
      </w:r>
      <w:r w:rsidR="003B4210" w:rsidRPr="00C354EA">
        <w:rPr>
          <w:i/>
          <w:szCs w:val="26"/>
        </w:rPr>
        <w:t>See</w:t>
      </w:r>
      <w:r w:rsidR="003B4210">
        <w:rPr>
          <w:szCs w:val="26"/>
        </w:rPr>
        <w:t xml:space="preserve"> </w:t>
      </w:r>
      <w:r>
        <w:rPr>
          <w:szCs w:val="26"/>
        </w:rPr>
        <w:t>16 U.S.C. 824o(d)(5).</w:t>
      </w:r>
    </w:p>
  </w:footnote>
  <w:footnote w:id="5">
    <w:p w14:paraId="72718C11" w14:textId="77777777" w:rsidR="00B8170D" w:rsidRDefault="00B8170D">
      <w:pPr>
        <w:pStyle w:val="FootnoteText"/>
      </w:pPr>
      <w:r>
        <w:rPr>
          <w:rStyle w:val="FootnoteReference"/>
        </w:rPr>
        <w:footnoteRef/>
      </w:r>
      <w:r>
        <w:t xml:space="preserve"> </w:t>
      </w:r>
      <w:r w:rsidR="00E81D3F">
        <w:t xml:space="preserve"> </w:t>
      </w:r>
      <w:r w:rsidR="00B004E2">
        <w:t xml:space="preserve">Order No. 890, </w:t>
      </w:r>
      <w:r w:rsidR="00C554D1">
        <w:rPr>
          <w:szCs w:val="26"/>
        </w:rPr>
        <w:t>FERC Stats. &amp; Regs. ¶ 31,241</w:t>
      </w:r>
      <w:r w:rsidR="00B004E2">
        <w:t xml:space="preserve"> at </w:t>
      </w:r>
      <w:r w:rsidR="00E81D3F">
        <w:rPr>
          <w:szCs w:val="26"/>
        </w:rPr>
        <w:t>P 210</w:t>
      </w:r>
      <w:r w:rsidR="00452A51">
        <w:rPr>
          <w:szCs w:val="26"/>
        </w:rPr>
        <w:t>.</w:t>
      </w:r>
    </w:p>
  </w:footnote>
  <w:footnote w:id="6">
    <w:p w14:paraId="72718C12" w14:textId="77777777" w:rsidR="00E81D3F" w:rsidRDefault="00B8170D">
      <w:pPr>
        <w:pStyle w:val="FootnoteText"/>
      </w:pPr>
      <w:r>
        <w:rPr>
          <w:rStyle w:val="FootnoteReference"/>
        </w:rPr>
        <w:footnoteRef/>
      </w:r>
      <w:r>
        <w:t xml:space="preserve"> </w:t>
      </w:r>
      <w:r w:rsidR="00E81D3F">
        <w:t xml:space="preserve"> </w:t>
      </w:r>
      <w:r w:rsidR="00E81D3F">
        <w:rPr>
          <w:i/>
        </w:rPr>
        <w:t>Mandatory Reliability Standards for the Bulk-Power System</w:t>
      </w:r>
      <w:r w:rsidR="00E81D3F">
        <w:t xml:space="preserve">, Order No. 693, FERC Stats. &amp; Regs. ¶ 31,242, </w:t>
      </w:r>
      <w:r w:rsidR="00E81D3F">
        <w:rPr>
          <w:i/>
        </w:rPr>
        <w:t>order on reh’g</w:t>
      </w:r>
      <w:r w:rsidR="00E81D3F">
        <w:t>, Order No. 693-A, 120 FERC ¶ 61,053 (2007).</w:t>
      </w:r>
    </w:p>
  </w:footnote>
  <w:footnote w:id="7">
    <w:p w14:paraId="72718C13" w14:textId="77777777" w:rsidR="00B8170D" w:rsidRDefault="00B8170D">
      <w:pPr>
        <w:pStyle w:val="FootnoteText"/>
      </w:pPr>
      <w:r>
        <w:rPr>
          <w:rStyle w:val="FootnoteReference"/>
        </w:rPr>
        <w:footnoteRef/>
      </w:r>
      <w:r>
        <w:t xml:space="preserve"> </w:t>
      </w:r>
      <w:r w:rsidR="000167D0">
        <w:t xml:space="preserve"> Order </w:t>
      </w:r>
      <w:r w:rsidR="00102F29">
        <w:t xml:space="preserve">No. </w:t>
      </w:r>
      <w:r w:rsidR="000167D0">
        <w:t xml:space="preserve">693, FERC Stats. &amp; Regs. ¶ 31,242 at P 1010.  </w:t>
      </w:r>
    </w:p>
  </w:footnote>
  <w:footnote w:id="8">
    <w:p w14:paraId="72718C14" w14:textId="77777777" w:rsidR="000167D0" w:rsidRDefault="000167D0">
      <w:pPr>
        <w:pStyle w:val="FootnoteText"/>
      </w:pPr>
      <w:r>
        <w:rPr>
          <w:rStyle w:val="FootnoteReference"/>
        </w:rPr>
        <w:footnoteRef/>
      </w:r>
      <w:r>
        <w:t xml:space="preserve">  </w:t>
      </w:r>
      <w:r w:rsidRPr="000167D0">
        <w:rPr>
          <w:i/>
        </w:rPr>
        <w:t>Id.</w:t>
      </w:r>
      <w:r>
        <w:t xml:space="preserve"> PP 1020-1034.</w:t>
      </w:r>
    </w:p>
  </w:footnote>
  <w:footnote w:id="9">
    <w:p w14:paraId="72718C15" w14:textId="77777777" w:rsidR="00DE0AA4" w:rsidRDefault="00BE61E5" w:rsidP="0090724A">
      <w:pPr>
        <w:pStyle w:val="Default"/>
      </w:pPr>
      <w:r>
        <w:tab/>
      </w:r>
      <w:r w:rsidR="00DE0AA4">
        <w:rPr>
          <w:rStyle w:val="FootnoteReference"/>
        </w:rPr>
        <w:footnoteRef/>
      </w:r>
      <w:r w:rsidR="00DE0AA4">
        <w:t xml:space="preserve">  </w:t>
      </w:r>
      <w:r w:rsidR="00DE0AA4" w:rsidRPr="0090724A">
        <w:rPr>
          <w:i/>
          <w:sz w:val="26"/>
          <w:szCs w:val="26"/>
        </w:rPr>
        <w:t>Mandatory Reliability Standards for the Calculation of Available Transfer Capability, Capacity Benefit Margins, Transmission Reliability Margins, Total Transfer Capability, and Existing Transmission Commitments and Mandatory Reliability Standards for the Bulk-Power System</w:t>
      </w:r>
      <w:r w:rsidR="00DE0AA4" w:rsidRPr="0090724A">
        <w:rPr>
          <w:sz w:val="26"/>
          <w:szCs w:val="26"/>
        </w:rPr>
        <w:t>, Order No. 729, 129 FERC ¶ 61,155 (2009)</w:t>
      </w:r>
      <w:r w:rsidR="005D5507">
        <w:rPr>
          <w:sz w:val="26"/>
          <w:szCs w:val="26"/>
        </w:rPr>
        <w:t>,</w:t>
      </w:r>
      <w:r w:rsidRPr="0090724A">
        <w:rPr>
          <w:sz w:val="26"/>
          <w:szCs w:val="26"/>
        </w:rPr>
        <w:t xml:space="preserve"> </w:t>
      </w:r>
      <w:r w:rsidRPr="0090724A">
        <w:rPr>
          <w:i/>
          <w:sz w:val="26"/>
          <w:szCs w:val="26"/>
        </w:rPr>
        <w:t>order on clarification</w:t>
      </w:r>
      <w:r w:rsidRPr="0090724A">
        <w:rPr>
          <w:sz w:val="26"/>
          <w:szCs w:val="26"/>
        </w:rPr>
        <w:t xml:space="preserve">, </w:t>
      </w:r>
      <w:r>
        <w:rPr>
          <w:sz w:val="26"/>
          <w:szCs w:val="26"/>
        </w:rPr>
        <w:t xml:space="preserve">Order No. 729-A, </w:t>
      </w:r>
      <w:r w:rsidRPr="0090724A">
        <w:rPr>
          <w:sz w:val="26"/>
          <w:szCs w:val="26"/>
        </w:rPr>
        <w:t>131 FERC ¶ 61,109</w:t>
      </w:r>
      <w:r>
        <w:rPr>
          <w:sz w:val="26"/>
          <w:szCs w:val="26"/>
        </w:rPr>
        <w:t xml:space="preserve"> (2010)</w:t>
      </w:r>
      <w:r w:rsidR="005D5507">
        <w:rPr>
          <w:sz w:val="26"/>
          <w:szCs w:val="26"/>
        </w:rPr>
        <w:t xml:space="preserve">, </w:t>
      </w:r>
      <w:r w:rsidRPr="0090724A">
        <w:rPr>
          <w:i/>
          <w:sz w:val="26"/>
          <w:szCs w:val="26"/>
        </w:rPr>
        <w:t>order on reh’g</w:t>
      </w:r>
      <w:r>
        <w:rPr>
          <w:sz w:val="26"/>
          <w:szCs w:val="26"/>
        </w:rPr>
        <w:t>,</w:t>
      </w:r>
      <w:r w:rsidRPr="0090724A">
        <w:rPr>
          <w:sz w:val="26"/>
          <w:szCs w:val="26"/>
        </w:rPr>
        <w:t xml:space="preserve"> </w:t>
      </w:r>
      <w:r>
        <w:rPr>
          <w:sz w:val="26"/>
          <w:szCs w:val="26"/>
        </w:rPr>
        <w:t xml:space="preserve">Order </w:t>
      </w:r>
      <w:r w:rsidR="005D5507">
        <w:rPr>
          <w:sz w:val="26"/>
          <w:szCs w:val="26"/>
        </w:rPr>
        <w:t xml:space="preserve"> </w:t>
      </w:r>
      <w:r>
        <w:rPr>
          <w:sz w:val="26"/>
          <w:szCs w:val="26"/>
        </w:rPr>
        <w:t xml:space="preserve">No. 729-B, </w:t>
      </w:r>
      <w:r w:rsidRPr="00BE61E5">
        <w:rPr>
          <w:sz w:val="26"/>
          <w:szCs w:val="26"/>
        </w:rPr>
        <w:t>132 FERC ¶ 61,027</w:t>
      </w:r>
      <w:r>
        <w:rPr>
          <w:sz w:val="26"/>
          <w:szCs w:val="26"/>
        </w:rPr>
        <w:t xml:space="preserve"> (2010).</w:t>
      </w:r>
      <w:r w:rsidRPr="00BE61E5">
        <w:rPr>
          <w:sz w:val="26"/>
          <w:szCs w:val="26"/>
        </w:rPr>
        <w:t xml:space="preserve"> </w:t>
      </w:r>
    </w:p>
  </w:footnote>
  <w:footnote w:id="10">
    <w:p w14:paraId="72718C16" w14:textId="77777777" w:rsidR="008A1CB4" w:rsidRDefault="008A1CB4">
      <w:pPr>
        <w:pStyle w:val="FootnoteText"/>
      </w:pPr>
      <w:r>
        <w:rPr>
          <w:rStyle w:val="FootnoteReference"/>
        </w:rPr>
        <w:footnoteRef/>
      </w:r>
      <w:r>
        <w:t xml:space="preserve"> Petition at 2.</w:t>
      </w:r>
    </w:p>
  </w:footnote>
  <w:footnote w:id="11">
    <w:p w14:paraId="72718C17" w14:textId="77777777" w:rsidR="00B64877" w:rsidRDefault="00B64877">
      <w:pPr>
        <w:pStyle w:val="FootnoteText"/>
      </w:pPr>
      <w:r>
        <w:rPr>
          <w:rStyle w:val="FootnoteReference"/>
        </w:rPr>
        <w:footnoteRef/>
      </w:r>
      <w:r>
        <w:t xml:space="preserve"> </w:t>
      </w:r>
      <w:r w:rsidRPr="00C354EA">
        <w:rPr>
          <w:i/>
        </w:rPr>
        <w:t>Id</w:t>
      </w:r>
      <w:r>
        <w:t>. at 27.</w:t>
      </w:r>
    </w:p>
  </w:footnote>
  <w:footnote w:id="12">
    <w:p w14:paraId="72718C18" w14:textId="77777777" w:rsidR="007B0B5F" w:rsidRDefault="007B0B5F">
      <w:pPr>
        <w:pStyle w:val="FootnoteText"/>
      </w:pPr>
      <w:r>
        <w:rPr>
          <w:rStyle w:val="FootnoteReference"/>
        </w:rPr>
        <w:footnoteRef/>
      </w:r>
      <w:r>
        <w:t xml:space="preserve"> </w:t>
      </w:r>
      <w:r w:rsidRPr="00C354EA">
        <w:rPr>
          <w:i/>
        </w:rPr>
        <w:t>Id</w:t>
      </w:r>
      <w:r>
        <w:t>.</w:t>
      </w:r>
    </w:p>
  </w:footnote>
  <w:footnote w:id="13">
    <w:p w14:paraId="72718C19" w14:textId="77777777" w:rsidR="00E3195A" w:rsidRDefault="00E3195A" w:rsidP="00E3195A">
      <w:pPr>
        <w:pStyle w:val="FootnoteText"/>
      </w:pPr>
      <w:r>
        <w:rPr>
          <w:rStyle w:val="FootnoteReference"/>
        </w:rPr>
        <w:footnoteRef/>
      </w:r>
      <w:r>
        <w:t xml:space="preserve">  </w:t>
      </w:r>
      <w:r w:rsidRPr="00170BB0">
        <w:rPr>
          <w:szCs w:val="26"/>
        </w:rPr>
        <w:t>C</w:t>
      </w:r>
      <w:r>
        <w:rPr>
          <w:szCs w:val="26"/>
        </w:rPr>
        <w:t xml:space="preserve">apacity benefit margin </w:t>
      </w:r>
      <w:r w:rsidRPr="00170BB0">
        <w:rPr>
          <w:szCs w:val="26"/>
        </w:rPr>
        <w:t>is a component of ATC/AFC and</w:t>
      </w:r>
      <w:r w:rsidR="00AA3983">
        <w:rPr>
          <w:szCs w:val="26"/>
        </w:rPr>
        <w:t xml:space="preserve"> “represents the</w:t>
      </w:r>
      <w:r w:rsidRPr="00170BB0">
        <w:rPr>
          <w:szCs w:val="26"/>
        </w:rPr>
        <w:t xml:space="preserve"> </w:t>
      </w:r>
      <w:r w:rsidRPr="009C2D7A">
        <w:rPr>
          <w:szCs w:val="26"/>
        </w:rPr>
        <w:t>amount of transmission</w:t>
      </w:r>
      <w:r w:rsidR="00AA3983" w:rsidRPr="00AA3983">
        <w:rPr>
          <w:szCs w:val="26"/>
        </w:rPr>
        <w:t xml:space="preserve"> </w:t>
      </w:r>
      <w:r w:rsidR="00AA3983">
        <w:rPr>
          <w:szCs w:val="26"/>
        </w:rPr>
        <w:t xml:space="preserve">capacity that needs to be set aside </w:t>
      </w:r>
      <w:r w:rsidR="00D80B78">
        <w:rPr>
          <w:szCs w:val="26"/>
        </w:rPr>
        <w:t>for Load Serving Entities (LSEs) to meet certain generation reliability requirements.”</w:t>
      </w:r>
      <w:r w:rsidR="00B03162">
        <w:rPr>
          <w:szCs w:val="26"/>
        </w:rPr>
        <w:t xml:space="preserve">  Petition at 3.</w:t>
      </w:r>
    </w:p>
  </w:footnote>
  <w:footnote w:id="14">
    <w:p w14:paraId="72718C1A" w14:textId="77777777" w:rsidR="00AA3983" w:rsidRDefault="00AA3983" w:rsidP="00AA3983">
      <w:pPr>
        <w:pStyle w:val="FootnoteText"/>
      </w:pPr>
      <w:r>
        <w:rPr>
          <w:rStyle w:val="FootnoteReference"/>
        </w:rPr>
        <w:footnoteRef/>
      </w:r>
      <w:r>
        <w:t xml:space="preserve">  </w:t>
      </w:r>
      <w:r w:rsidRPr="00170BB0">
        <w:rPr>
          <w:szCs w:val="26"/>
        </w:rPr>
        <w:t>T</w:t>
      </w:r>
      <w:r>
        <w:rPr>
          <w:szCs w:val="26"/>
        </w:rPr>
        <w:t xml:space="preserve">ransmission reliability margin </w:t>
      </w:r>
      <w:r w:rsidRPr="00170BB0">
        <w:rPr>
          <w:szCs w:val="26"/>
        </w:rPr>
        <w:t>is a component of ATC/AFC and</w:t>
      </w:r>
      <w:r w:rsidR="00B03162">
        <w:rPr>
          <w:szCs w:val="26"/>
        </w:rPr>
        <w:t xml:space="preserve"> “represents the</w:t>
      </w:r>
      <w:r w:rsidR="00B03162" w:rsidRPr="00170BB0">
        <w:rPr>
          <w:szCs w:val="26"/>
        </w:rPr>
        <w:t xml:space="preserve"> </w:t>
      </w:r>
      <w:r w:rsidR="00B03162" w:rsidRPr="009C2D7A">
        <w:rPr>
          <w:szCs w:val="26"/>
        </w:rPr>
        <w:t>amount of transmission transfer</w:t>
      </w:r>
      <w:r w:rsidR="00B03162" w:rsidRPr="00AA3983">
        <w:rPr>
          <w:szCs w:val="26"/>
        </w:rPr>
        <w:t xml:space="preserve"> </w:t>
      </w:r>
      <w:r w:rsidR="00B03162">
        <w:rPr>
          <w:szCs w:val="26"/>
        </w:rPr>
        <w:t xml:space="preserve">capacity that needs to be set aside to establish margins for system reliability.”  </w:t>
      </w:r>
      <w:r w:rsidR="00B03162" w:rsidRPr="00B03162">
        <w:rPr>
          <w:i/>
          <w:szCs w:val="26"/>
        </w:rPr>
        <w:t>Id</w:t>
      </w:r>
      <w:r w:rsidR="00B03162">
        <w:rPr>
          <w:szCs w:val="26"/>
        </w:rPr>
        <w:t>.</w:t>
      </w:r>
    </w:p>
  </w:footnote>
  <w:footnote w:id="15">
    <w:p w14:paraId="72718C1B" w14:textId="77777777" w:rsidR="00B64877" w:rsidRDefault="00B64877">
      <w:pPr>
        <w:pStyle w:val="FootnoteText"/>
      </w:pPr>
      <w:r>
        <w:rPr>
          <w:rStyle w:val="FootnoteReference"/>
        </w:rPr>
        <w:footnoteRef/>
      </w:r>
      <w:r>
        <w:t xml:space="preserve"> </w:t>
      </w:r>
      <w:r w:rsidRPr="00C354EA">
        <w:rPr>
          <w:i/>
        </w:rPr>
        <w:t>Id</w:t>
      </w:r>
      <w:r>
        <w:t>. at 6, 28-37.</w:t>
      </w:r>
    </w:p>
  </w:footnote>
  <w:footnote w:id="16">
    <w:p w14:paraId="72718C1C" w14:textId="77777777" w:rsidR="00BE61E5" w:rsidRDefault="00E3195A" w:rsidP="00BE61E5">
      <w:pPr>
        <w:widowControl/>
        <w:ind w:firstLine="720"/>
        <w:rPr>
          <w:szCs w:val="26"/>
        </w:rPr>
      </w:pPr>
      <w:r>
        <w:rPr>
          <w:rStyle w:val="FootnoteReference"/>
        </w:rPr>
        <w:footnoteRef/>
      </w:r>
      <w:r>
        <w:t xml:space="preserve"> </w:t>
      </w:r>
      <w:r w:rsidR="00BE61E5">
        <w:t xml:space="preserve"> </w:t>
      </w:r>
      <w:r w:rsidR="00B004E2">
        <w:t>P</w:t>
      </w:r>
      <w:r w:rsidR="00BE61E5">
        <w:t xml:space="preserve">roposed </w:t>
      </w:r>
      <w:r w:rsidR="00B004E2">
        <w:rPr>
          <w:szCs w:val="26"/>
        </w:rPr>
        <w:t xml:space="preserve">Reliability Standard </w:t>
      </w:r>
      <w:r w:rsidR="00BE61E5">
        <w:t xml:space="preserve">MOD-001-2 </w:t>
      </w:r>
      <w:r w:rsidR="00BE61E5">
        <w:rPr>
          <w:szCs w:val="26"/>
        </w:rPr>
        <w:t>is not attached to the NOPR.  The complete text of the Reliability Standard is available on the Commission’s</w:t>
      </w:r>
    </w:p>
    <w:p w14:paraId="72718C1D" w14:textId="77777777" w:rsidR="00E3195A" w:rsidRDefault="00BE61E5" w:rsidP="00B004E2">
      <w:pPr>
        <w:widowControl/>
        <w:rPr>
          <w:szCs w:val="26"/>
        </w:rPr>
      </w:pPr>
      <w:r>
        <w:rPr>
          <w:szCs w:val="26"/>
        </w:rPr>
        <w:t xml:space="preserve">eLibrary document retrieval system in Docket No. RM14-7-000 and is posted on the ERO’s web site, </w:t>
      </w:r>
      <w:r>
        <w:rPr>
          <w:i/>
          <w:iCs/>
          <w:szCs w:val="26"/>
        </w:rPr>
        <w:t>available at</w:t>
      </w:r>
      <w:r>
        <w:rPr>
          <w:szCs w:val="26"/>
        </w:rPr>
        <w:t xml:space="preserve"> </w:t>
      </w:r>
      <w:hyperlink r:id="rId1" w:history="1">
        <w:r w:rsidRPr="00414A8A">
          <w:rPr>
            <w:rStyle w:val="Hyperlink"/>
            <w:szCs w:val="26"/>
            <w:u w:val="none"/>
          </w:rPr>
          <w:t>http://www.nerc.com</w:t>
        </w:r>
      </w:hyperlink>
      <w:r>
        <w:rPr>
          <w:szCs w:val="26"/>
        </w:rPr>
        <w:t>.</w:t>
      </w:r>
    </w:p>
    <w:p w14:paraId="72718C1E" w14:textId="77777777" w:rsidR="00B004E2" w:rsidRDefault="00B004E2" w:rsidP="00B004E2">
      <w:pPr>
        <w:widowControl/>
      </w:pPr>
    </w:p>
  </w:footnote>
  <w:footnote w:id="17">
    <w:p w14:paraId="72718C1F" w14:textId="77777777" w:rsidR="00AD49A3" w:rsidRDefault="00AD49A3">
      <w:pPr>
        <w:pStyle w:val="FootnoteText"/>
      </w:pPr>
      <w:r>
        <w:rPr>
          <w:rStyle w:val="FootnoteReference"/>
        </w:rPr>
        <w:footnoteRef/>
      </w:r>
      <w:r>
        <w:t xml:space="preserve"> </w:t>
      </w:r>
      <w:r w:rsidRPr="00C354EA">
        <w:rPr>
          <w:i/>
        </w:rPr>
        <w:t>See</w:t>
      </w:r>
      <w:r>
        <w:t xml:space="preserve"> Petition at 38 and Exhibit B (Implementation Plan) at 1.</w:t>
      </w:r>
    </w:p>
  </w:footnote>
  <w:footnote w:id="18">
    <w:p w14:paraId="72718C20" w14:textId="77777777" w:rsidR="006D050E" w:rsidRDefault="006D050E">
      <w:pPr>
        <w:pStyle w:val="FootnoteText"/>
      </w:pPr>
      <w:r>
        <w:rPr>
          <w:rStyle w:val="FootnoteReference"/>
        </w:rPr>
        <w:footnoteRef/>
      </w:r>
      <w:r>
        <w:t xml:space="preserve"> </w:t>
      </w:r>
      <w:r w:rsidR="00B004E2">
        <w:t xml:space="preserve"> </w:t>
      </w:r>
      <w:r w:rsidR="00B004E2" w:rsidRPr="00B004E2">
        <w:rPr>
          <w:i/>
        </w:rPr>
        <w:t>Id.</w:t>
      </w:r>
      <w:r w:rsidR="00B004E2">
        <w:t xml:space="preserve"> </w:t>
      </w:r>
      <w:r>
        <w:t>at 38.</w:t>
      </w:r>
    </w:p>
  </w:footnote>
  <w:footnote w:id="19">
    <w:p w14:paraId="72718C21" w14:textId="77777777" w:rsidR="00E24989" w:rsidRDefault="00E24989">
      <w:pPr>
        <w:pStyle w:val="FootnoteText"/>
      </w:pPr>
      <w:r>
        <w:rPr>
          <w:rStyle w:val="FootnoteReference"/>
        </w:rPr>
        <w:footnoteRef/>
      </w:r>
      <w:r>
        <w:t xml:space="preserve"> </w:t>
      </w:r>
      <w:r w:rsidR="00B004E2">
        <w:t xml:space="preserve"> </w:t>
      </w:r>
      <w:r w:rsidRPr="00C354EA">
        <w:rPr>
          <w:i/>
        </w:rPr>
        <w:t>Id</w:t>
      </w:r>
      <w:r>
        <w:t>.</w:t>
      </w:r>
    </w:p>
  </w:footnote>
  <w:footnote w:id="20">
    <w:p w14:paraId="72718C22" w14:textId="77777777" w:rsidR="00B004E2" w:rsidRDefault="00B004E2">
      <w:pPr>
        <w:pStyle w:val="FootnoteText"/>
      </w:pPr>
      <w:r>
        <w:rPr>
          <w:rStyle w:val="FootnoteReference"/>
        </w:rPr>
        <w:footnoteRef/>
      </w:r>
      <w:r>
        <w:t xml:space="preserve"> </w:t>
      </w:r>
      <w:r w:rsidRPr="00B004E2">
        <w:rPr>
          <w:i/>
        </w:rPr>
        <w:t>See</w:t>
      </w:r>
      <w:r>
        <w:rPr>
          <w:i/>
        </w:rPr>
        <w:t>, e.g.,</w:t>
      </w:r>
      <w:r>
        <w:t xml:space="preserve"> Petition at 17, 22, 24, 26, and 30-31. </w:t>
      </w:r>
    </w:p>
  </w:footnote>
  <w:footnote w:id="21">
    <w:p w14:paraId="72718C23" w14:textId="77777777" w:rsidR="00E235E0" w:rsidRDefault="00E235E0">
      <w:pPr>
        <w:pStyle w:val="FootnoteText"/>
      </w:pPr>
      <w:r>
        <w:rPr>
          <w:rStyle w:val="FootnoteReference"/>
        </w:rPr>
        <w:footnoteRef/>
      </w:r>
      <w:r>
        <w:t xml:space="preserve"> Petition at 38.</w:t>
      </w:r>
    </w:p>
  </w:footnote>
  <w:footnote w:id="22">
    <w:p w14:paraId="72718C24" w14:textId="77777777" w:rsidR="009C2D7A" w:rsidRDefault="009C2D7A" w:rsidP="009C2D7A">
      <w:pPr>
        <w:pStyle w:val="FootnoteText"/>
        <w:spacing w:before="120"/>
        <w:rPr>
          <w:szCs w:val="26"/>
        </w:rPr>
      </w:pPr>
      <w:r>
        <w:rPr>
          <w:rStyle w:val="FootnoteReference"/>
        </w:rPr>
        <w:footnoteRef/>
      </w:r>
      <w:r>
        <w:rPr>
          <w:szCs w:val="26"/>
        </w:rPr>
        <w:t xml:space="preserve"> </w:t>
      </w:r>
      <w:r w:rsidR="002251AA">
        <w:rPr>
          <w:szCs w:val="26"/>
        </w:rPr>
        <w:t xml:space="preserve"> </w:t>
      </w:r>
      <w:r>
        <w:rPr>
          <w:szCs w:val="26"/>
        </w:rPr>
        <w:t>44 U.S.C. 3507(d) (2012).</w:t>
      </w:r>
    </w:p>
  </w:footnote>
  <w:footnote w:id="23">
    <w:p w14:paraId="72718C25" w14:textId="77777777" w:rsidR="009C2D7A" w:rsidRDefault="009C2D7A" w:rsidP="009C2D7A">
      <w:pPr>
        <w:pStyle w:val="FootnoteText"/>
        <w:spacing w:before="120"/>
        <w:rPr>
          <w:szCs w:val="26"/>
        </w:rPr>
      </w:pPr>
      <w:r>
        <w:rPr>
          <w:rStyle w:val="FootnoteReference"/>
        </w:rPr>
        <w:footnoteRef/>
      </w:r>
      <w:r>
        <w:rPr>
          <w:szCs w:val="26"/>
        </w:rPr>
        <w:t xml:space="preserve"> </w:t>
      </w:r>
      <w:r w:rsidR="002251AA">
        <w:rPr>
          <w:szCs w:val="26"/>
        </w:rPr>
        <w:t xml:space="preserve"> </w:t>
      </w:r>
      <w:r>
        <w:rPr>
          <w:szCs w:val="26"/>
        </w:rPr>
        <w:t>5 CFR 1320.11 (2013).</w:t>
      </w:r>
    </w:p>
  </w:footnote>
  <w:footnote w:id="24">
    <w:p w14:paraId="72718C26" w14:textId="77777777" w:rsidR="008E09A8" w:rsidRDefault="008E09A8" w:rsidP="008E09A8">
      <w:pPr>
        <w:pStyle w:val="FootnoteText"/>
      </w:pPr>
      <w:r>
        <w:rPr>
          <w:rStyle w:val="FootnoteReference"/>
        </w:rPr>
        <w:footnoteRef/>
      </w:r>
      <w:r>
        <w:t xml:space="preserve">  The estimated hourly costs (salary plus benefits) are based on Bureau of Labor and Statistics (BLS) information (</w:t>
      </w:r>
      <w:r>
        <w:rPr>
          <w:i/>
        </w:rPr>
        <w:t>available at</w:t>
      </w:r>
      <w:r>
        <w:t xml:space="preserve"> </w:t>
      </w:r>
      <w:hyperlink r:id="rId2" w:anchor="17-0000" w:history="1">
        <w:r w:rsidR="00082A57" w:rsidRPr="000A3ACE">
          <w:rPr>
            <w:rStyle w:val="Hyperlink"/>
          </w:rPr>
          <w:t>http://bls.gov/oes/current/naics3_221000.htm#17-0000</w:t>
        </w:r>
      </w:hyperlink>
      <w:r>
        <w:t>) for an electrical engineer ($59.62/hour for review and documentation), and for a file clerk (</w:t>
      </w:r>
      <w:r w:rsidRPr="00DC0EDD">
        <w:rPr>
          <w:rStyle w:val="Hyperlink"/>
          <w:u w:val="none"/>
        </w:rPr>
        <w:t xml:space="preserve">$28.95/hour </w:t>
      </w:r>
      <w:r>
        <w:t>for record retention).</w:t>
      </w:r>
    </w:p>
  </w:footnote>
  <w:footnote w:id="25">
    <w:p w14:paraId="72718C27" w14:textId="77777777" w:rsidR="008E09A8" w:rsidRDefault="008E09A8" w:rsidP="008E09A8">
      <w:pPr>
        <w:pStyle w:val="FootnoteText"/>
      </w:pPr>
      <w:r>
        <w:rPr>
          <w:rStyle w:val="FootnoteReference"/>
        </w:rPr>
        <w:footnoteRef/>
      </w:r>
      <w:r>
        <w:t xml:space="preserve">  170 TOPs and 93 TSPs result in 186 unique and separate respondents for the record retention requirement.</w:t>
      </w:r>
    </w:p>
  </w:footnote>
  <w:footnote w:id="26">
    <w:p w14:paraId="72718C28" w14:textId="77777777" w:rsidR="00406429" w:rsidRDefault="00406429" w:rsidP="00406429">
      <w:pPr>
        <w:pStyle w:val="FootnoteText"/>
      </w:pPr>
      <w:r>
        <w:rPr>
          <w:rStyle w:val="FootnoteReference"/>
        </w:rPr>
        <w:footnoteRef/>
      </w:r>
      <w:r>
        <w:t xml:space="preserve"> 180 TPs, 492 LSEs, and 107 BAs result in 551 unique and separate respondents</w:t>
      </w:r>
      <w:r w:rsidR="00DE161B">
        <w:t>.</w:t>
      </w:r>
    </w:p>
  </w:footnote>
  <w:footnote w:id="27">
    <w:p w14:paraId="72718C29" w14:textId="77777777" w:rsidR="009C2D7A" w:rsidRDefault="009C2D7A" w:rsidP="009C2D7A">
      <w:pPr>
        <w:pStyle w:val="FootnoteText"/>
        <w:rPr>
          <w:szCs w:val="26"/>
        </w:rPr>
      </w:pPr>
      <w:r>
        <w:rPr>
          <w:rStyle w:val="FootnoteReference"/>
        </w:rPr>
        <w:footnoteRef/>
      </w:r>
      <w:r>
        <w:rPr>
          <w:szCs w:val="26"/>
        </w:rPr>
        <w:t xml:space="preserve"> </w:t>
      </w:r>
      <w:r w:rsidR="002251AA">
        <w:rPr>
          <w:szCs w:val="26"/>
        </w:rPr>
        <w:t xml:space="preserve"> </w:t>
      </w:r>
      <w:r>
        <w:rPr>
          <w:szCs w:val="26"/>
        </w:rPr>
        <w:t>5 U.S.C. 601-612.</w:t>
      </w:r>
    </w:p>
  </w:footnote>
  <w:footnote w:id="28">
    <w:p w14:paraId="72718C2A" w14:textId="77777777" w:rsidR="009C2D7A" w:rsidRDefault="009C2D7A" w:rsidP="009C2D7A">
      <w:pPr>
        <w:pStyle w:val="FootnoteText"/>
        <w:rPr>
          <w:szCs w:val="26"/>
        </w:rPr>
      </w:pPr>
      <w:r>
        <w:rPr>
          <w:rStyle w:val="FootnoteReference"/>
        </w:rPr>
        <w:footnoteRef/>
      </w:r>
      <w:r>
        <w:rPr>
          <w:szCs w:val="26"/>
        </w:rPr>
        <w:t xml:space="preserve"> </w:t>
      </w:r>
      <w:r w:rsidR="002251AA">
        <w:rPr>
          <w:szCs w:val="26"/>
        </w:rPr>
        <w:t xml:space="preserve"> </w:t>
      </w:r>
      <w:r>
        <w:rPr>
          <w:szCs w:val="26"/>
        </w:rPr>
        <w:t>13 CFR 121.101 (2013).</w:t>
      </w:r>
    </w:p>
  </w:footnote>
  <w:footnote w:id="29">
    <w:p w14:paraId="72718C2B" w14:textId="77777777" w:rsidR="009C2D7A" w:rsidRDefault="009C2D7A" w:rsidP="009C2D7A">
      <w:pPr>
        <w:pStyle w:val="FootnoteText"/>
        <w:rPr>
          <w:szCs w:val="26"/>
        </w:rPr>
      </w:pPr>
      <w:r>
        <w:rPr>
          <w:rStyle w:val="FootnoteReference"/>
        </w:rPr>
        <w:footnoteRef/>
      </w:r>
      <w:r>
        <w:rPr>
          <w:szCs w:val="26"/>
        </w:rPr>
        <w:t xml:space="preserve"> </w:t>
      </w:r>
      <w:r w:rsidR="002251AA">
        <w:rPr>
          <w:szCs w:val="26"/>
        </w:rPr>
        <w:t xml:space="preserve"> </w:t>
      </w:r>
      <w:r>
        <w:rPr>
          <w:szCs w:val="26"/>
        </w:rPr>
        <w:t>SBA Final Rule on “Small Business Size Standards:  Utilities,” 78 FR 77343 (12/23/2013).</w:t>
      </w:r>
    </w:p>
  </w:footnote>
  <w:footnote w:id="30">
    <w:p w14:paraId="72718C2C" w14:textId="77777777" w:rsidR="009C2D7A" w:rsidRDefault="009C2D7A" w:rsidP="009C2D7A">
      <w:pPr>
        <w:pStyle w:val="FootnoteText"/>
        <w:rPr>
          <w:szCs w:val="26"/>
        </w:rPr>
      </w:pPr>
      <w:r>
        <w:rPr>
          <w:rStyle w:val="FootnoteReference"/>
        </w:rPr>
        <w:footnoteRef/>
      </w:r>
      <w:r>
        <w:rPr>
          <w:szCs w:val="26"/>
        </w:rPr>
        <w:t xml:space="preserve"> </w:t>
      </w:r>
      <w:r w:rsidR="002251AA">
        <w:rPr>
          <w:szCs w:val="26"/>
        </w:rPr>
        <w:t xml:space="preserve"> </w:t>
      </w:r>
      <w:r>
        <w:rPr>
          <w:szCs w:val="26"/>
        </w:rPr>
        <w:t xml:space="preserve">13 CFR 121.201, Sector 22, Utilities.  </w:t>
      </w:r>
    </w:p>
  </w:footnote>
  <w:footnote w:id="31">
    <w:p w14:paraId="72718C2D" w14:textId="77777777" w:rsidR="009C2D7A" w:rsidRDefault="009C2D7A" w:rsidP="009C2D7A">
      <w:pPr>
        <w:pStyle w:val="FootnoteText"/>
      </w:pPr>
      <w:r>
        <w:rPr>
          <w:rStyle w:val="FootnoteReference"/>
        </w:rPr>
        <w:footnoteRef/>
      </w:r>
      <w:r>
        <w:t xml:space="preserve"> </w:t>
      </w:r>
      <w:r w:rsidR="002251AA">
        <w:t xml:space="preserve"> </w:t>
      </w:r>
      <w:r>
        <w:rPr>
          <w:szCs w:val="26"/>
        </w:rPr>
        <w:t xml:space="preserve">Data and further information are available from SBA </w:t>
      </w:r>
      <w:r>
        <w:rPr>
          <w:i/>
          <w:szCs w:val="26"/>
        </w:rPr>
        <w:t>available at</w:t>
      </w:r>
      <w:r>
        <w:rPr>
          <w:szCs w:val="26"/>
        </w:rPr>
        <w:t xml:space="preserve"> </w:t>
      </w:r>
      <w:hyperlink r:id="rId3" w:history="1">
        <w:r w:rsidRPr="00EE23B0">
          <w:rPr>
            <w:rStyle w:val="Hyperlink"/>
            <w:u w:val="none"/>
          </w:rPr>
          <w:t>http://www.sba.gov/advocacy/849/12162</w:t>
        </w:r>
      </w:hyperlink>
      <w:r>
        <w:rPr>
          <w:szCs w:val="26"/>
        </w:rPr>
        <w:t>.</w:t>
      </w:r>
    </w:p>
  </w:footnote>
  <w:footnote w:id="32">
    <w:p w14:paraId="72718C2E" w14:textId="77777777" w:rsidR="009C2D7A" w:rsidRDefault="009C2D7A" w:rsidP="009C2D7A">
      <w:pPr>
        <w:pStyle w:val="FootnoteText"/>
      </w:pPr>
      <w:r>
        <w:rPr>
          <w:rStyle w:val="FootnoteReference"/>
        </w:rPr>
        <w:footnoteRef/>
      </w:r>
      <w:r>
        <w:t xml:space="preserve"> </w:t>
      </w:r>
      <w:r w:rsidR="002251AA">
        <w:t xml:space="preserve"> </w:t>
      </w:r>
      <w:r>
        <w:t xml:space="preserve">The one-time paperwork-related implementation cost estimate is based on a burden of 20 hours at $59.62/hour, and the annual record-keeping cost estimate is based on a burden of 2 hours at $28.95/hour.  </w:t>
      </w:r>
      <w:r>
        <w:rPr>
          <w:i/>
        </w:rPr>
        <w:t xml:space="preserve">See supra </w:t>
      </w:r>
      <w:r>
        <w:t xml:space="preserve">at 21 and P 1 note/39.  </w:t>
      </w:r>
    </w:p>
  </w:footnote>
  <w:footnote w:id="33">
    <w:p w14:paraId="72718C2F" w14:textId="77777777" w:rsidR="00406429" w:rsidRDefault="00406429" w:rsidP="00406429">
      <w:pPr>
        <w:pStyle w:val="FootnoteText"/>
      </w:pPr>
      <w:r>
        <w:rPr>
          <w:rStyle w:val="FootnoteReference"/>
        </w:rPr>
        <w:footnoteRef/>
      </w:r>
      <w:r>
        <w:t xml:space="preserve"> $238.48 = $59.62 (hourly review and documentation cost) + $178.86 (cost per entity due to retirement of applicability of TPs, LSEs, and BAs.</w:t>
      </w:r>
    </w:p>
  </w:footnote>
  <w:footnote w:id="34">
    <w:p w14:paraId="72718C30" w14:textId="77777777" w:rsidR="00B8170D" w:rsidRDefault="00B8170D" w:rsidP="00067A24">
      <w:pPr>
        <w:pStyle w:val="FootnoteText"/>
      </w:pPr>
      <w:r>
        <w:rPr>
          <w:rStyle w:val="FootnoteReference"/>
        </w:rPr>
        <w:footnoteRef/>
      </w:r>
      <w:r>
        <w:t xml:space="preserve">  </w:t>
      </w:r>
      <w:r w:rsidRPr="00744857">
        <w:rPr>
          <w:i/>
        </w:rPr>
        <w:t>Regulations Implementing the National Environmental Policy Act</w:t>
      </w:r>
      <w:r w:rsidR="00744857">
        <w:rPr>
          <w:i/>
        </w:rPr>
        <w:t xml:space="preserve"> of 1969</w:t>
      </w:r>
      <w:r>
        <w:t xml:space="preserve">, </w:t>
      </w:r>
      <w:r w:rsidR="00744857">
        <w:t xml:space="preserve">Order No. 486, </w:t>
      </w:r>
      <w:r>
        <w:t xml:space="preserve">52 FR 47897 (Dec. 17, 1987), FERC Stats. &amp; Regs. </w:t>
      </w:r>
      <w:r w:rsidR="00744857">
        <w:t>Regulations</w:t>
      </w:r>
      <w:r w:rsidR="00ED3451">
        <w:t xml:space="preserve"> </w:t>
      </w:r>
      <w:r>
        <w:t>Preambles 1986-1990 ¶ 30,783 (1987).</w:t>
      </w:r>
    </w:p>
  </w:footnote>
  <w:footnote w:id="35">
    <w:p w14:paraId="72718C31" w14:textId="77777777" w:rsidR="00B8170D" w:rsidRPr="00335A9B" w:rsidRDefault="00B8170D" w:rsidP="00067A24">
      <w:pPr>
        <w:pStyle w:val="FootnoteText"/>
        <w:spacing w:before="120" w:after="120"/>
        <w:rPr>
          <w:szCs w:val="26"/>
        </w:rPr>
      </w:pPr>
      <w:r w:rsidRPr="00335A9B">
        <w:rPr>
          <w:rStyle w:val="FootnoteReference"/>
        </w:rPr>
        <w:footnoteRef/>
      </w:r>
      <w:r w:rsidRPr="00335A9B">
        <w:rPr>
          <w:szCs w:val="26"/>
        </w:rPr>
        <w:t xml:space="preserve"> </w:t>
      </w:r>
      <w:r>
        <w:rPr>
          <w:szCs w:val="26"/>
        </w:rPr>
        <w:t xml:space="preserve"> </w:t>
      </w:r>
      <w:r w:rsidRPr="00335A9B">
        <w:rPr>
          <w:szCs w:val="26"/>
        </w:rPr>
        <w:t>18 CFR 380.4(a)(2)(ii).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18C0A" w14:textId="77777777" w:rsidR="00B8170D" w:rsidRDefault="00B8170D" w:rsidP="00B817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8FA">
      <w:rPr>
        <w:rStyle w:val="PageNumber"/>
        <w:noProof/>
      </w:rPr>
      <w:t>- 1 -</w:t>
    </w:r>
    <w:r>
      <w:rPr>
        <w:rStyle w:val="PageNumber"/>
      </w:rPr>
      <w:fldChar w:fldCharType="end"/>
    </w:r>
  </w:p>
  <w:p w14:paraId="72718C0B" w14:textId="77777777" w:rsidR="00B8170D" w:rsidRDefault="00B8170D" w:rsidP="00B8170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18C0C" w14:textId="77777777" w:rsidR="00B8170D" w:rsidRDefault="00B8170D" w:rsidP="0025400C">
    <w:pPr>
      <w:pStyle w:val="Header"/>
      <w:spacing w:after="240"/>
    </w:pPr>
    <w:r>
      <w:t xml:space="preserve">Docket No. RM14-7-000 </w:t>
    </w:r>
    <w:r>
      <w:tab/>
    </w:r>
    <w:r>
      <w:fldChar w:fldCharType="begin"/>
    </w:r>
    <w:r>
      <w:instrText xml:space="preserve"> PAGE  \* MERGEFORMAT </w:instrText>
    </w:r>
    <w:r>
      <w:fldChar w:fldCharType="separate"/>
    </w:r>
    <w:r w:rsidR="003F2296">
      <w:rPr>
        <w:noProof/>
      </w:rPr>
      <w:t>- 10 -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A190BC40"/>
    <w:lvl w:ilvl="0">
      <w:start w:val="6"/>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080"/>
        </w:tabs>
        <w:ind w:left="1080" w:hanging="72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Roman"/>
      <w:lvlText w:val="(%8)"/>
      <w:lvlJc w:val="left"/>
      <w:pPr>
        <w:tabs>
          <w:tab w:val="num" w:pos="3240"/>
        </w:tabs>
        <w:ind w:left="3240" w:hanging="720"/>
      </w:pPr>
      <w:rPr>
        <w:rFonts w:hint="default"/>
      </w:rPr>
    </w:lvl>
    <w:lvl w:ilvl="8">
      <w:start w:val="1"/>
      <w:numFmt w:val="decimalZero"/>
      <w:lvlText w:val="(%9)"/>
      <w:lvlJc w:val="left"/>
      <w:pPr>
        <w:tabs>
          <w:tab w:val="num" w:pos="3600"/>
        </w:tabs>
        <w:ind w:left="3600" w:hanging="720"/>
      </w:pPr>
      <w:rPr>
        <w:rFonts w:hint="default"/>
      </w:rPr>
    </w:lvl>
  </w:abstractNum>
  <w:abstractNum w:abstractNumId="12">
    <w:nsid w:val="2D0D7F18"/>
    <w:multiLevelType w:val="hybridMultilevel"/>
    <w:tmpl w:val="2088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202536"/>
    <w:multiLevelType w:val="multilevel"/>
    <w:tmpl w:val="2B34B33E"/>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080"/>
        </w:tabs>
        <w:ind w:left="1080" w:hanging="72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lowerLetter"/>
      <w:pStyle w:val="Heading4"/>
      <w:lvlText w:val="%4."/>
      <w:lvlJc w:val="left"/>
      <w:pPr>
        <w:tabs>
          <w:tab w:val="num" w:pos="1800"/>
        </w:tabs>
        <w:ind w:left="180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1"/>
      <w:numFmt w:val="lowerLetter"/>
      <w:pStyle w:val="Heading6"/>
      <w:lvlText w:val="(%6)"/>
      <w:lvlJc w:val="left"/>
      <w:pPr>
        <w:tabs>
          <w:tab w:val="num" w:pos="2520"/>
        </w:tabs>
        <w:ind w:left="2520" w:hanging="720"/>
      </w:pPr>
      <w:rPr>
        <w:rFonts w:hint="default"/>
      </w:rPr>
    </w:lvl>
    <w:lvl w:ilvl="6">
      <w:start w:val="1"/>
      <w:numFmt w:val="decimal"/>
      <w:pStyle w:val="Heading7"/>
      <w:lvlText w:val="(%7)"/>
      <w:lvlJc w:val="left"/>
      <w:pPr>
        <w:tabs>
          <w:tab w:val="num" w:pos="2880"/>
        </w:tabs>
        <w:ind w:left="2880" w:hanging="720"/>
      </w:pPr>
      <w:rPr>
        <w:rFonts w:hint="default"/>
      </w:rPr>
    </w:lvl>
    <w:lvl w:ilvl="7">
      <w:start w:val="1"/>
      <w:numFmt w:val="lowerRoman"/>
      <w:pStyle w:val="Heading8"/>
      <w:lvlText w:val="(%8)"/>
      <w:lvlJc w:val="left"/>
      <w:pPr>
        <w:tabs>
          <w:tab w:val="num" w:pos="3240"/>
        </w:tabs>
        <w:ind w:left="3240" w:hanging="720"/>
      </w:pPr>
      <w:rPr>
        <w:rFonts w:hint="default"/>
      </w:rPr>
    </w:lvl>
    <w:lvl w:ilvl="8">
      <w:start w:val="1"/>
      <w:numFmt w:val="decimalZero"/>
      <w:pStyle w:val="Heading9"/>
      <w:lvlText w:val="(%9)"/>
      <w:lvlJc w:val="left"/>
      <w:pPr>
        <w:tabs>
          <w:tab w:val="num" w:pos="3600"/>
        </w:tabs>
        <w:ind w:left="3600" w:hanging="720"/>
      </w:pPr>
      <w:rPr>
        <w:rFonts w:hint="default"/>
      </w:rPr>
    </w:lvl>
  </w:abstractNum>
  <w:abstractNum w:abstractNumId="16">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7"/>
  </w:num>
  <w:num w:numId="4">
    <w:abstractNumId w:val="13"/>
  </w:num>
  <w:num w:numId="5">
    <w:abstractNumId w:val="19"/>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1"/>
  </w:num>
  <w:num w:numId="28">
    <w:abstractNumId w:val="15"/>
  </w:num>
  <w:num w:numId="29">
    <w:abstractNumId w:val="19"/>
  </w:num>
  <w:num w:numId="30">
    <w:abstractNumId w:val="19"/>
  </w:num>
  <w:num w:numId="31">
    <w:abstractNumId w:val="19"/>
  </w:num>
  <w:num w:numId="32">
    <w:abstractNumId w:val="19"/>
  </w:num>
  <w:num w:numId="33">
    <w:abstractNumId w:val="15"/>
  </w:num>
  <w:num w:numId="34">
    <w:abstractNumId w:val="19"/>
  </w:num>
  <w:num w:numId="35">
    <w:abstractNumId w:val="12"/>
  </w:num>
  <w:num w:numId="36">
    <w:abstractNumId w:val="15"/>
  </w:num>
  <w:num w:numId="37">
    <w:abstractNumId w:val="1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9"/>
  </w:num>
  <w:num w:numId="42">
    <w:abstractNumId w:val="19"/>
  </w:num>
  <w:num w:numId="43">
    <w:abstractNumId w:val="19"/>
  </w:num>
  <w:num w:numId="44">
    <w:abstractNumId w:val="1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84"/>
    <w:rsid w:val="00000BAF"/>
    <w:rsid w:val="000060FC"/>
    <w:rsid w:val="00006E79"/>
    <w:rsid w:val="00007013"/>
    <w:rsid w:val="0001111E"/>
    <w:rsid w:val="00015BA4"/>
    <w:rsid w:val="000167D0"/>
    <w:rsid w:val="00017BC9"/>
    <w:rsid w:val="00020927"/>
    <w:rsid w:val="00022117"/>
    <w:rsid w:val="0002233B"/>
    <w:rsid w:val="00030595"/>
    <w:rsid w:val="000306AF"/>
    <w:rsid w:val="00030862"/>
    <w:rsid w:val="00036021"/>
    <w:rsid w:val="00042BCC"/>
    <w:rsid w:val="000518FA"/>
    <w:rsid w:val="0005406C"/>
    <w:rsid w:val="00055B09"/>
    <w:rsid w:val="00060AEC"/>
    <w:rsid w:val="00061F05"/>
    <w:rsid w:val="000630E3"/>
    <w:rsid w:val="00063363"/>
    <w:rsid w:val="00064D88"/>
    <w:rsid w:val="0006768F"/>
    <w:rsid w:val="00067A24"/>
    <w:rsid w:val="00077531"/>
    <w:rsid w:val="00082A57"/>
    <w:rsid w:val="00094059"/>
    <w:rsid w:val="000964CE"/>
    <w:rsid w:val="000973D0"/>
    <w:rsid w:val="000B32DC"/>
    <w:rsid w:val="000B3933"/>
    <w:rsid w:val="000B5FB2"/>
    <w:rsid w:val="000C4EB0"/>
    <w:rsid w:val="000C5FD7"/>
    <w:rsid w:val="000D709F"/>
    <w:rsid w:val="000E314D"/>
    <w:rsid w:val="000E5DA1"/>
    <w:rsid w:val="000E6E42"/>
    <w:rsid w:val="000F1A65"/>
    <w:rsid w:val="000F40DE"/>
    <w:rsid w:val="000F7CC3"/>
    <w:rsid w:val="00101744"/>
    <w:rsid w:val="00102F29"/>
    <w:rsid w:val="00107D5A"/>
    <w:rsid w:val="0011005F"/>
    <w:rsid w:val="001128A5"/>
    <w:rsid w:val="001278B8"/>
    <w:rsid w:val="00127B80"/>
    <w:rsid w:val="0013289A"/>
    <w:rsid w:val="00136FF5"/>
    <w:rsid w:val="00144766"/>
    <w:rsid w:val="001450B0"/>
    <w:rsid w:val="00145BF3"/>
    <w:rsid w:val="001460E5"/>
    <w:rsid w:val="00146A35"/>
    <w:rsid w:val="00147246"/>
    <w:rsid w:val="001541A7"/>
    <w:rsid w:val="001619AF"/>
    <w:rsid w:val="001701EA"/>
    <w:rsid w:val="00170BB0"/>
    <w:rsid w:val="001722E3"/>
    <w:rsid w:val="00176FE3"/>
    <w:rsid w:val="00177390"/>
    <w:rsid w:val="00177FE1"/>
    <w:rsid w:val="00183FD6"/>
    <w:rsid w:val="001844C6"/>
    <w:rsid w:val="001853F5"/>
    <w:rsid w:val="00187A39"/>
    <w:rsid w:val="00196908"/>
    <w:rsid w:val="001A030A"/>
    <w:rsid w:val="001A078B"/>
    <w:rsid w:val="001A12DE"/>
    <w:rsid w:val="001A3237"/>
    <w:rsid w:val="001A4C5E"/>
    <w:rsid w:val="001A4EF5"/>
    <w:rsid w:val="001A5D72"/>
    <w:rsid w:val="001A68C8"/>
    <w:rsid w:val="001A7D94"/>
    <w:rsid w:val="001B1B7F"/>
    <w:rsid w:val="001B4D9E"/>
    <w:rsid w:val="001C139A"/>
    <w:rsid w:val="001C17A3"/>
    <w:rsid w:val="001C599E"/>
    <w:rsid w:val="001C5E36"/>
    <w:rsid w:val="001D0604"/>
    <w:rsid w:val="001D3568"/>
    <w:rsid w:val="001D6113"/>
    <w:rsid w:val="001D75C1"/>
    <w:rsid w:val="001D7F9B"/>
    <w:rsid w:val="001E1B1A"/>
    <w:rsid w:val="001E2164"/>
    <w:rsid w:val="001E4A71"/>
    <w:rsid w:val="001E6866"/>
    <w:rsid w:val="001F4663"/>
    <w:rsid w:val="001F6EA4"/>
    <w:rsid w:val="001F7FC3"/>
    <w:rsid w:val="00200B82"/>
    <w:rsid w:val="002011D4"/>
    <w:rsid w:val="00202422"/>
    <w:rsid w:val="00204512"/>
    <w:rsid w:val="00206D7D"/>
    <w:rsid w:val="00207E9C"/>
    <w:rsid w:val="002106AD"/>
    <w:rsid w:val="00213189"/>
    <w:rsid w:val="00215AC5"/>
    <w:rsid w:val="00215DA9"/>
    <w:rsid w:val="002246EF"/>
    <w:rsid w:val="002251AA"/>
    <w:rsid w:val="0023489A"/>
    <w:rsid w:val="00240066"/>
    <w:rsid w:val="002426C3"/>
    <w:rsid w:val="00252506"/>
    <w:rsid w:val="0025400C"/>
    <w:rsid w:val="00254C49"/>
    <w:rsid w:val="002553AC"/>
    <w:rsid w:val="00255663"/>
    <w:rsid w:val="0026424F"/>
    <w:rsid w:val="00264564"/>
    <w:rsid w:val="00264DA7"/>
    <w:rsid w:val="00266808"/>
    <w:rsid w:val="002747B3"/>
    <w:rsid w:val="002756B8"/>
    <w:rsid w:val="00277D1A"/>
    <w:rsid w:val="0028132C"/>
    <w:rsid w:val="00281B3C"/>
    <w:rsid w:val="00282B1D"/>
    <w:rsid w:val="00282D15"/>
    <w:rsid w:val="0028697E"/>
    <w:rsid w:val="002875D8"/>
    <w:rsid w:val="002918B4"/>
    <w:rsid w:val="002932F9"/>
    <w:rsid w:val="00295BB7"/>
    <w:rsid w:val="002A5520"/>
    <w:rsid w:val="002B0C7A"/>
    <w:rsid w:val="002B6530"/>
    <w:rsid w:val="002C1C5D"/>
    <w:rsid w:val="002C3455"/>
    <w:rsid w:val="002C3700"/>
    <w:rsid w:val="002C4EF3"/>
    <w:rsid w:val="002C6A35"/>
    <w:rsid w:val="002D1319"/>
    <w:rsid w:val="002D1796"/>
    <w:rsid w:val="002D52AE"/>
    <w:rsid w:val="002D7D08"/>
    <w:rsid w:val="002E1A6F"/>
    <w:rsid w:val="002E1E26"/>
    <w:rsid w:val="002E4290"/>
    <w:rsid w:val="002E6C23"/>
    <w:rsid w:val="002E7495"/>
    <w:rsid w:val="002E770C"/>
    <w:rsid w:val="002F0BA5"/>
    <w:rsid w:val="002F515E"/>
    <w:rsid w:val="002F59AF"/>
    <w:rsid w:val="002F7F84"/>
    <w:rsid w:val="00301152"/>
    <w:rsid w:val="003023C7"/>
    <w:rsid w:val="00302619"/>
    <w:rsid w:val="003138F7"/>
    <w:rsid w:val="00320784"/>
    <w:rsid w:val="00321C2B"/>
    <w:rsid w:val="0032258C"/>
    <w:rsid w:val="00322B73"/>
    <w:rsid w:val="003303B3"/>
    <w:rsid w:val="003338B3"/>
    <w:rsid w:val="003350BC"/>
    <w:rsid w:val="0033571D"/>
    <w:rsid w:val="00340B63"/>
    <w:rsid w:val="0035214B"/>
    <w:rsid w:val="0035446A"/>
    <w:rsid w:val="00356443"/>
    <w:rsid w:val="00356DE0"/>
    <w:rsid w:val="003616F2"/>
    <w:rsid w:val="003618AE"/>
    <w:rsid w:val="003734FE"/>
    <w:rsid w:val="00380088"/>
    <w:rsid w:val="00381F65"/>
    <w:rsid w:val="00382564"/>
    <w:rsid w:val="00385528"/>
    <w:rsid w:val="00386BAB"/>
    <w:rsid w:val="00387B47"/>
    <w:rsid w:val="00387FB2"/>
    <w:rsid w:val="00395734"/>
    <w:rsid w:val="00395E13"/>
    <w:rsid w:val="003A16CB"/>
    <w:rsid w:val="003A1A81"/>
    <w:rsid w:val="003A25E0"/>
    <w:rsid w:val="003A3A1A"/>
    <w:rsid w:val="003A7663"/>
    <w:rsid w:val="003A7AA1"/>
    <w:rsid w:val="003B0BF6"/>
    <w:rsid w:val="003B4210"/>
    <w:rsid w:val="003B708B"/>
    <w:rsid w:val="003C31A8"/>
    <w:rsid w:val="003D3C82"/>
    <w:rsid w:val="003D3EF2"/>
    <w:rsid w:val="003E36DD"/>
    <w:rsid w:val="003E5C8D"/>
    <w:rsid w:val="003E5D5B"/>
    <w:rsid w:val="003F0247"/>
    <w:rsid w:val="003F2296"/>
    <w:rsid w:val="003F5746"/>
    <w:rsid w:val="003F590E"/>
    <w:rsid w:val="003F6EDE"/>
    <w:rsid w:val="00406429"/>
    <w:rsid w:val="00412030"/>
    <w:rsid w:val="00414A8A"/>
    <w:rsid w:val="00420A73"/>
    <w:rsid w:val="004210A2"/>
    <w:rsid w:val="00426BE9"/>
    <w:rsid w:val="00426D49"/>
    <w:rsid w:val="0043427F"/>
    <w:rsid w:val="00435317"/>
    <w:rsid w:val="00435A52"/>
    <w:rsid w:val="00435F5E"/>
    <w:rsid w:val="00443B68"/>
    <w:rsid w:val="004457FF"/>
    <w:rsid w:val="00447165"/>
    <w:rsid w:val="004504FE"/>
    <w:rsid w:val="00450972"/>
    <w:rsid w:val="00452A51"/>
    <w:rsid w:val="0045406D"/>
    <w:rsid w:val="004561CC"/>
    <w:rsid w:val="00456DF6"/>
    <w:rsid w:val="00457BB5"/>
    <w:rsid w:val="00461B52"/>
    <w:rsid w:val="0046225D"/>
    <w:rsid w:val="00463382"/>
    <w:rsid w:val="004675D3"/>
    <w:rsid w:val="00472AED"/>
    <w:rsid w:val="00472C0E"/>
    <w:rsid w:val="00476798"/>
    <w:rsid w:val="00476E2C"/>
    <w:rsid w:val="00480A57"/>
    <w:rsid w:val="00481C81"/>
    <w:rsid w:val="00484846"/>
    <w:rsid w:val="0049353F"/>
    <w:rsid w:val="004943A1"/>
    <w:rsid w:val="00494BF5"/>
    <w:rsid w:val="00495B6D"/>
    <w:rsid w:val="00495D49"/>
    <w:rsid w:val="0049668F"/>
    <w:rsid w:val="004A0C80"/>
    <w:rsid w:val="004A2E84"/>
    <w:rsid w:val="004B1D4E"/>
    <w:rsid w:val="004B4F19"/>
    <w:rsid w:val="004B68E5"/>
    <w:rsid w:val="004B78C8"/>
    <w:rsid w:val="004D0548"/>
    <w:rsid w:val="004D723B"/>
    <w:rsid w:val="004E021C"/>
    <w:rsid w:val="004E0FFD"/>
    <w:rsid w:val="004E1EEC"/>
    <w:rsid w:val="004E203B"/>
    <w:rsid w:val="004E50F6"/>
    <w:rsid w:val="004F0FB4"/>
    <w:rsid w:val="004F3359"/>
    <w:rsid w:val="004F67FE"/>
    <w:rsid w:val="00500A76"/>
    <w:rsid w:val="00502A03"/>
    <w:rsid w:val="00510866"/>
    <w:rsid w:val="005120DC"/>
    <w:rsid w:val="00512F51"/>
    <w:rsid w:val="00514AF3"/>
    <w:rsid w:val="0052383E"/>
    <w:rsid w:val="00525110"/>
    <w:rsid w:val="00531C65"/>
    <w:rsid w:val="005334B1"/>
    <w:rsid w:val="0053381C"/>
    <w:rsid w:val="005348C4"/>
    <w:rsid w:val="0053745E"/>
    <w:rsid w:val="00542F37"/>
    <w:rsid w:val="00546996"/>
    <w:rsid w:val="00546FA2"/>
    <w:rsid w:val="00552C99"/>
    <w:rsid w:val="00554A45"/>
    <w:rsid w:val="00555578"/>
    <w:rsid w:val="00556EBF"/>
    <w:rsid w:val="0056269C"/>
    <w:rsid w:val="0056308C"/>
    <w:rsid w:val="005662D9"/>
    <w:rsid w:val="00570E0E"/>
    <w:rsid w:val="00572737"/>
    <w:rsid w:val="0057509C"/>
    <w:rsid w:val="00576F39"/>
    <w:rsid w:val="00576F77"/>
    <w:rsid w:val="00577AED"/>
    <w:rsid w:val="00581603"/>
    <w:rsid w:val="00585DED"/>
    <w:rsid w:val="00587397"/>
    <w:rsid w:val="00597BE5"/>
    <w:rsid w:val="005A3527"/>
    <w:rsid w:val="005A4BB1"/>
    <w:rsid w:val="005A75CC"/>
    <w:rsid w:val="005A77EE"/>
    <w:rsid w:val="005B5FA0"/>
    <w:rsid w:val="005B7592"/>
    <w:rsid w:val="005B7E3F"/>
    <w:rsid w:val="005C1478"/>
    <w:rsid w:val="005C3C47"/>
    <w:rsid w:val="005C403F"/>
    <w:rsid w:val="005C4A00"/>
    <w:rsid w:val="005C4D56"/>
    <w:rsid w:val="005C5EC8"/>
    <w:rsid w:val="005C7358"/>
    <w:rsid w:val="005D130E"/>
    <w:rsid w:val="005D36C6"/>
    <w:rsid w:val="005D5507"/>
    <w:rsid w:val="005E1AA5"/>
    <w:rsid w:val="005E77AD"/>
    <w:rsid w:val="005F037C"/>
    <w:rsid w:val="005F25F1"/>
    <w:rsid w:val="005F29EC"/>
    <w:rsid w:val="005F6418"/>
    <w:rsid w:val="005F7C87"/>
    <w:rsid w:val="006015E4"/>
    <w:rsid w:val="00605E2F"/>
    <w:rsid w:val="0060755E"/>
    <w:rsid w:val="0061075E"/>
    <w:rsid w:val="00614B9A"/>
    <w:rsid w:val="00617427"/>
    <w:rsid w:val="006330EA"/>
    <w:rsid w:val="00636C6F"/>
    <w:rsid w:val="00640844"/>
    <w:rsid w:val="006429B7"/>
    <w:rsid w:val="00656F9C"/>
    <w:rsid w:val="006575F9"/>
    <w:rsid w:val="006630B7"/>
    <w:rsid w:val="0066511C"/>
    <w:rsid w:val="00666626"/>
    <w:rsid w:val="006700A7"/>
    <w:rsid w:val="006721A8"/>
    <w:rsid w:val="00676722"/>
    <w:rsid w:val="00676EFA"/>
    <w:rsid w:val="00677583"/>
    <w:rsid w:val="006776DD"/>
    <w:rsid w:val="00680B5A"/>
    <w:rsid w:val="0068394F"/>
    <w:rsid w:val="00686DC3"/>
    <w:rsid w:val="00692769"/>
    <w:rsid w:val="00693007"/>
    <w:rsid w:val="00693937"/>
    <w:rsid w:val="00694968"/>
    <w:rsid w:val="006960C2"/>
    <w:rsid w:val="006A0444"/>
    <w:rsid w:val="006B19A6"/>
    <w:rsid w:val="006B3418"/>
    <w:rsid w:val="006B3496"/>
    <w:rsid w:val="006C1639"/>
    <w:rsid w:val="006C78BC"/>
    <w:rsid w:val="006D050E"/>
    <w:rsid w:val="006E031B"/>
    <w:rsid w:val="006E1532"/>
    <w:rsid w:val="006E1C49"/>
    <w:rsid w:val="006E28A5"/>
    <w:rsid w:val="006E5AF2"/>
    <w:rsid w:val="006F3629"/>
    <w:rsid w:val="006F3994"/>
    <w:rsid w:val="006F6EAC"/>
    <w:rsid w:val="006F7364"/>
    <w:rsid w:val="00706F67"/>
    <w:rsid w:val="0070707C"/>
    <w:rsid w:val="00707F34"/>
    <w:rsid w:val="00711E06"/>
    <w:rsid w:val="00712AF9"/>
    <w:rsid w:val="007154F3"/>
    <w:rsid w:val="00722394"/>
    <w:rsid w:val="007232DD"/>
    <w:rsid w:val="00723A08"/>
    <w:rsid w:val="007251C1"/>
    <w:rsid w:val="00726AB4"/>
    <w:rsid w:val="00730373"/>
    <w:rsid w:val="00731A9B"/>
    <w:rsid w:val="00744857"/>
    <w:rsid w:val="00744876"/>
    <w:rsid w:val="00745DCF"/>
    <w:rsid w:val="007473C6"/>
    <w:rsid w:val="00750123"/>
    <w:rsid w:val="00751675"/>
    <w:rsid w:val="00755061"/>
    <w:rsid w:val="007555FE"/>
    <w:rsid w:val="007605A6"/>
    <w:rsid w:val="0076061D"/>
    <w:rsid w:val="007612C7"/>
    <w:rsid w:val="00761496"/>
    <w:rsid w:val="00762088"/>
    <w:rsid w:val="00763AB9"/>
    <w:rsid w:val="00765527"/>
    <w:rsid w:val="00765D80"/>
    <w:rsid w:val="00766638"/>
    <w:rsid w:val="00766734"/>
    <w:rsid w:val="00766EED"/>
    <w:rsid w:val="007672A3"/>
    <w:rsid w:val="00775174"/>
    <w:rsid w:val="00775A41"/>
    <w:rsid w:val="0077791E"/>
    <w:rsid w:val="00780B6B"/>
    <w:rsid w:val="00784577"/>
    <w:rsid w:val="00784B67"/>
    <w:rsid w:val="007974D5"/>
    <w:rsid w:val="007A1743"/>
    <w:rsid w:val="007A42FB"/>
    <w:rsid w:val="007A47F0"/>
    <w:rsid w:val="007A684A"/>
    <w:rsid w:val="007A7684"/>
    <w:rsid w:val="007B06D8"/>
    <w:rsid w:val="007B0B5F"/>
    <w:rsid w:val="007B125F"/>
    <w:rsid w:val="007B224A"/>
    <w:rsid w:val="007B2B1C"/>
    <w:rsid w:val="007B3D9E"/>
    <w:rsid w:val="007B5E3C"/>
    <w:rsid w:val="007C07A4"/>
    <w:rsid w:val="007C7542"/>
    <w:rsid w:val="007D0129"/>
    <w:rsid w:val="007D0B0A"/>
    <w:rsid w:val="007D3F86"/>
    <w:rsid w:val="007D4408"/>
    <w:rsid w:val="007D5651"/>
    <w:rsid w:val="007E26D4"/>
    <w:rsid w:val="007E5582"/>
    <w:rsid w:val="007E6EC4"/>
    <w:rsid w:val="007E711E"/>
    <w:rsid w:val="007E784B"/>
    <w:rsid w:val="007F026A"/>
    <w:rsid w:val="007F1CE7"/>
    <w:rsid w:val="007F5B13"/>
    <w:rsid w:val="007F60E7"/>
    <w:rsid w:val="0080060B"/>
    <w:rsid w:val="00800DA5"/>
    <w:rsid w:val="0080177E"/>
    <w:rsid w:val="0080457E"/>
    <w:rsid w:val="00814337"/>
    <w:rsid w:val="008161C6"/>
    <w:rsid w:val="008218E9"/>
    <w:rsid w:val="00823B3F"/>
    <w:rsid w:val="00824E72"/>
    <w:rsid w:val="0082589F"/>
    <w:rsid w:val="0082741E"/>
    <w:rsid w:val="00832487"/>
    <w:rsid w:val="0083383A"/>
    <w:rsid w:val="00834CCC"/>
    <w:rsid w:val="008353DF"/>
    <w:rsid w:val="00841E7D"/>
    <w:rsid w:val="00841F97"/>
    <w:rsid w:val="008437B4"/>
    <w:rsid w:val="00844606"/>
    <w:rsid w:val="00852557"/>
    <w:rsid w:val="00854C97"/>
    <w:rsid w:val="00861ED1"/>
    <w:rsid w:val="00864064"/>
    <w:rsid w:val="0086688C"/>
    <w:rsid w:val="008677F7"/>
    <w:rsid w:val="00872517"/>
    <w:rsid w:val="0087529D"/>
    <w:rsid w:val="00876A75"/>
    <w:rsid w:val="008776B4"/>
    <w:rsid w:val="008803E8"/>
    <w:rsid w:val="008823F6"/>
    <w:rsid w:val="00882970"/>
    <w:rsid w:val="00882F9A"/>
    <w:rsid w:val="00885696"/>
    <w:rsid w:val="0088645D"/>
    <w:rsid w:val="008869A8"/>
    <w:rsid w:val="008929B0"/>
    <w:rsid w:val="00893545"/>
    <w:rsid w:val="00896950"/>
    <w:rsid w:val="008A1CB4"/>
    <w:rsid w:val="008A2BA0"/>
    <w:rsid w:val="008A3608"/>
    <w:rsid w:val="008A6D34"/>
    <w:rsid w:val="008A6F07"/>
    <w:rsid w:val="008A7EBF"/>
    <w:rsid w:val="008B0B28"/>
    <w:rsid w:val="008B3E62"/>
    <w:rsid w:val="008B5EEF"/>
    <w:rsid w:val="008C127E"/>
    <w:rsid w:val="008D5F5D"/>
    <w:rsid w:val="008D6DF8"/>
    <w:rsid w:val="008E09A8"/>
    <w:rsid w:val="008E214C"/>
    <w:rsid w:val="008E79D5"/>
    <w:rsid w:val="008F0280"/>
    <w:rsid w:val="008F3326"/>
    <w:rsid w:val="008F35CE"/>
    <w:rsid w:val="008F7061"/>
    <w:rsid w:val="00901B84"/>
    <w:rsid w:val="009052C9"/>
    <w:rsid w:val="0090724A"/>
    <w:rsid w:val="00907891"/>
    <w:rsid w:val="00911681"/>
    <w:rsid w:val="0091237B"/>
    <w:rsid w:val="00915F1D"/>
    <w:rsid w:val="0092158A"/>
    <w:rsid w:val="00926267"/>
    <w:rsid w:val="00937667"/>
    <w:rsid w:val="00944A60"/>
    <w:rsid w:val="009450DA"/>
    <w:rsid w:val="009545B4"/>
    <w:rsid w:val="009558F3"/>
    <w:rsid w:val="00961780"/>
    <w:rsid w:val="00972AAC"/>
    <w:rsid w:val="0097498F"/>
    <w:rsid w:val="009761EF"/>
    <w:rsid w:val="009766EB"/>
    <w:rsid w:val="009770AA"/>
    <w:rsid w:val="009914FA"/>
    <w:rsid w:val="009940E7"/>
    <w:rsid w:val="009963AE"/>
    <w:rsid w:val="009A1C9E"/>
    <w:rsid w:val="009A2444"/>
    <w:rsid w:val="009A4771"/>
    <w:rsid w:val="009B0E7F"/>
    <w:rsid w:val="009B582F"/>
    <w:rsid w:val="009B7AE7"/>
    <w:rsid w:val="009B7D12"/>
    <w:rsid w:val="009C1EC8"/>
    <w:rsid w:val="009C2D7A"/>
    <w:rsid w:val="009C34B8"/>
    <w:rsid w:val="009C3C68"/>
    <w:rsid w:val="009E0976"/>
    <w:rsid w:val="009E7E7F"/>
    <w:rsid w:val="009F6F90"/>
    <w:rsid w:val="00A010FD"/>
    <w:rsid w:val="00A050F9"/>
    <w:rsid w:val="00A06C97"/>
    <w:rsid w:val="00A1021A"/>
    <w:rsid w:val="00A152AE"/>
    <w:rsid w:val="00A23296"/>
    <w:rsid w:val="00A236C8"/>
    <w:rsid w:val="00A23C55"/>
    <w:rsid w:val="00A2517A"/>
    <w:rsid w:val="00A30B24"/>
    <w:rsid w:val="00A30BCA"/>
    <w:rsid w:val="00A30DEA"/>
    <w:rsid w:val="00A31D97"/>
    <w:rsid w:val="00A32676"/>
    <w:rsid w:val="00A32891"/>
    <w:rsid w:val="00A408E9"/>
    <w:rsid w:val="00A40C40"/>
    <w:rsid w:val="00A45077"/>
    <w:rsid w:val="00A509AD"/>
    <w:rsid w:val="00A51AA5"/>
    <w:rsid w:val="00A54FE6"/>
    <w:rsid w:val="00A60B91"/>
    <w:rsid w:val="00A717E0"/>
    <w:rsid w:val="00A722CB"/>
    <w:rsid w:val="00A7447E"/>
    <w:rsid w:val="00A75A54"/>
    <w:rsid w:val="00A85234"/>
    <w:rsid w:val="00A94C8B"/>
    <w:rsid w:val="00A96723"/>
    <w:rsid w:val="00AA3983"/>
    <w:rsid w:val="00AB16BD"/>
    <w:rsid w:val="00AB1A40"/>
    <w:rsid w:val="00AB2BD5"/>
    <w:rsid w:val="00AB3964"/>
    <w:rsid w:val="00AB65B5"/>
    <w:rsid w:val="00AC060A"/>
    <w:rsid w:val="00AC1654"/>
    <w:rsid w:val="00AC4D29"/>
    <w:rsid w:val="00AC5300"/>
    <w:rsid w:val="00AD49A3"/>
    <w:rsid w:val="00AD5047"/>
    <w:rsid w:val="00AE12C7"/>
    <w:rsid w:val="00AE217F"/>
    <w:rsid w:val="00AE457D"/>
    <w:rsid w:val="00AE55C0"/>
    <w:rsid w:val="00AE617C"/>
    <w:rsid w:val="00AE7C0A"/>
    <w:rsid w:val="00AF0A6E"/>
    <w:rsid w:val="00AF417B"/>
    <w:rsid w:val="00AF4D4C"/>
    <w:rsid w:val="00AF6DFA"/>
    <w:rsid w:val="00B004E2"/>
    <w:rsid w:val="00B02964"/>
    <w:rsid w:val="00B03162"/>
    <w:rsid w:val="00B04B6E"/>
    <w:rsid w:val="00B064CB"/>
    <w:rsid w:val="00B06834"/>
    <w:rsid w:val="00B070B7"/>
    <w:rsid w:val="00B072C8"/>
    <w:rsid w:val="00B13E21"/>
    <w:rsid w:val="00B16BCF"/>
    <w:rsid w:val="00B22A30"/>
    <w:rsid w:val="00B2426C"/>
    <w:rsid w:val="00B30196"/>
    <w:rsid w:val="00B33C92"/>
    <w:rsid w:val="00B3544A"/>
    <w:rsid w:val="00B44677"/>
    <w:rsid w:val="00B47977"/>
    <w:rsid w:val="00B50B27"/>
    <w:rsid w:val="00B61DED"/>
    <w:rsid w:val="00B63C36"/>
    <w:rsid w:val="00B64877"/>
    <w:rsid w:val="00B65A06"/>
    <w:rsid w:val="00B70C77"/>
    <w:rsid w:val="00B71571"/>
    <w:rsid w:val="00B7431C"/>
    <w:rsid w:val="00B75A08"/>
    <w:rsid w:val="00B763F1"/>
    <w:rsid w:val="00B76C83"/>
    <w:rsid w:val="00B802A1"/>
    <w:rsid w:val="00B8170D"/>
    <w:rsid w:val="00B86965"/>
    <w:rsid w:val="00B917B4"/>
    <w:rsid w:val="00B923EE"/>
    <w:rsid w:val="00BA0FE6"/>
    <w:rsid w:val="00BA1434"/>
    <w:rsid w:val="00BA23E3"/>
    <w:rsid w:val="00BA427D"/>
    <w:rsid w:val="00BA6703"/>
    <w:rsid w:val="00BB62C4"/>
    <w:rsid w:val="00BB7AC9"/>
    <w:rsid w:val="00BC158D"/>
    <w:rsid w:val="00BD2B87"/>
    <w:rsid w:val="00BD38C9"/>
    <w:rsid w:val="00BD6329"/>
    <w:rsid w:val="00BD64F5"/>
    <w:rsid w:val="00BE0FDE"/>
    <w:rsid w:val="00BE140B"/>
    <w:rsid w:val="00BE1CE9"/>
    <w:rsid w:val="00BE5080"/>
    <w:rsid w:val="00BE61E5"/>
    <w:rsid w:val="00C0003C"/>
    <w:rsid w:val="00C014F6"/>
    <w:rsid w:val="00C01DA2"/>
    <w:rsid w:val="00C04438"/>
    <w:rsid w:val="00C04BFE"/>
    <w:rsid w:val="00C06C1B"/>
    <w:rsid w:val="00C07E8D"/>
    <w:rsid w:val="00C11B80"/>
    <w:rsid w:val="00C16CFA"/>
    <w:rsid w:val="00C20D04"/>
    <w:rsid w:val="00C21D9F"/>
    <w:rsid w:val="00C22E39"/>
    <w:rsid w:val="00C23226"/>
    <w:rsid w:val="00C2391F"/>
    <w:rsid w:val="00C23B76"/>
    <w:rsid w:val="00C315B9"/>
    <w:rsid w:val="00C31BFE"/>
    <w:rsid w:val="00C34176"/>
    <w:rsid w:val="00C354EA"/>
    <w:rsid w:val="00C35CF5"/>
    <w:rsid w:val="00C367F9"/>
    <w:rsid w:val="00C4261F"/>
    <w:rsid w:val="00C43C86"/>
    <w:rsid w:val="00C5256F"/>
    <w:rsid w:val="00C5359F"/>
    <w:rsid w:val="00C54098"/>
    <w:rsid w:val="00C554D1"/>
    <w:rsid w:val="00C608E1"/>
    <w:rsid w:val="00C658BA"/>
    <w:rsid w:val="00C673F9"/>
    <w:rsid w:val="00C67E23"/>
    <w:rsid w:val="00C7399D"/>
    <w:rsid w:val="00C7695A"/>
    <w:rsid w:val="00C7728C"/>
    <w:rsid w:val="00C802C1"/>
    <w:rsid w:val="00C822C2"/>
    <w:rsid w:val="00C8600B"/>
    <w:rsid w:val="00C86407"/>
    <w:rsid w:val="00C948F4"/>
    <w:rsid w:val="00C966FA"/>
    <w:rsid w:val="00C96AD2"/>
    <w:rsid w:val="00CA199C"/>
    <w:rsid w:val="00CA4DFC"/>
    <w:rsid w:val="00CB1209"/>
    <w:rsid w:val="00CB3BBD"/>
    <w:rsid w:val="00CC2BB7"/>
    <w:rsid w:val="00CD24EE"/>
    <w:rsid w:val="00CD255B"/>
    <w:rsid w:val="00CD2859"/>
    <w:rsid w:val="00CE0BFD"/>
    <w:rsid w:val="00CE4DE3"/>
    <w:rsid w:val="00CE4ECE"/>
    <w:rsid w:val="00CE5A75"/>
    <w:rsid w:val="00CF15D4"/>
    <w:rsid w:val="00D00F19"/>
    <w:rsid w:val="00D00F99"/>
    <w:rsid w:val="00D026CF"/>
    <w:rsid w:val="00D0555F"/>
    <w:rsid w:val="00D06B5C"/>
    <w:rsid w:val="00D1062D"/>
    <w:rsid w:val="00D1636E"/>
    <w:rsid w:val="00D169AE"/>
    <w:rsid w:val="00D17C3F"/>
    <w:rsid w:val="00D2376A"/>
    <w:rsid w:val="00D24079"/>
    <w:rsid w:val="00D24990"/>
    <w:rsid w:val="00D258EC"/>
    <w:rsid w:val="00D26681"/>
    <w:rsid w:val="00D27403"/>
    <w:rsid w:val="00D305C0"/>
    <w:rsid w:val="00D3301D"/>
    <w:rsid w:val="00D35EEF"/>
    <w:rsid w:val="00D405E9"/>
    <w:rsid w:val="00D43BC8"/>
    <w:rsid w:val="00D463C2"/>
    <w:rsid w:val="00D54FA2"/>
    <w:rsid w:val="00D55B21"/>
    <w:rsid w:val="00D566A9"/>
    <w:rsid w:val="00D615FF"/>
    <w:rsid w:val="00D67F2F"/>
    <w:rsid w:val="00D7035D"/>
    <w:rsid w:val="00D73C44"/>
    <w:rsid w:val="00D80B78"/>
    <w:rsid w:val="00D811FB"/>
    <w:rsid w:val="00D8140E"/>
    <w:rsid w:val="00D83AF9"/>
    <w:rsid w:val="00D87A7F"/>
    <w:rsid w:val="00D9302C"/>
    <w:rsid w:val="00D93E04"/>
    <w:rsid w:val="00D970CA"/>
    <w:rsid w:val="00DA2267"/>
    <w:rsid w:val="00DA3564"/>
    <w:rsid w:val="00DA455A"/>
    <w:rsid w:val="00DA7990"/>
    <w:rsid w:val="00DB292C"/>
    <w:rsid w:val="00DB3338"/>
    <w:rsid w:val="00DB674A"/>
    <w:rsid w:val="00DB7789"/>
    <w:rsid w:val="00DC0EDD"/>
    <w:rsid w:val="00DC12EB"/>
    <w:rsid w:val="00DC1EE7"/>
    <w:rsid w:val="00DC221F"/>
    <w:rsid w:val="00DC2CE0"/>
    <w:rsid w:val="00DC2ED9"/>
    <w:rsid w:val="00DC30CC"/>
    <w:rsid w:val="00DC3F09"/>
    <w:rsid w:val="00DD2C64"/>
    <w:rsid w:val="00DD5B6C"/>
    <w:rsid w:val="00DD6F64"/>
    <w:rsid w:val="00DD7707"/>
    <w:rsid w:val="00DE0986"/>
    <w:rsid w:val="00DE0AA4"/>
    <w:rsid w:val="00DE161B"/>
    <w:rsid w:val="00DE635F"/>
    <w:rsid w:val="00DF0B39"/>
    <w:rsid w:val="00DF0CB9"/>
    <w:rsid w:val="00DF5DDB"/>
    <w:rsid w:val="00E04CFE"/>
    <w:rsid w:val="00E16A64"/>
    <w:rsid w:val="00E20B75"/>
    <w:rsid w:val="00E21ACF"/>
    <w:rsid w:val="00E235E0"/>
    <w:rsid w:val="00E24691"/>
    <w:rsid w:val="00E24989"/>
    <w:rsid w:val="00E26B08"/>
    <w:rsid w:val="00E3195A"/>
    <w:rsid w:val="00E32637"/>
    <w:rsid w:val="00E32754"/>
    <w:rsid w:val="00E352CA"/>
    <w:rsid w:val="00E358A2"/>
    <w:rsid w:val="00E36C1F"/>
    <w:rsid w:val="00E408C4"/>
    <w:rsid w:val="00E44066"/>
    <w:rsid w:val="00E524EF"/>
    <w:rsid w:val="00E54A4F"/>
    <w:rsid w:val="00E6761B"/>
    <w:rsid w:val="00E7774A"/>
    <w:rsid w:val="00E81D3F"/>
    <w:rsid w:val="00E83E2E"/>
    <w:rsid w:val="00E90671"/>
    <w:rsid w:val="00E910DF"/>
    <w:rsid w:val="00E9151D"/>
    <w:rsid w:val="00E9182F"/>
    <w:rsid w:val="00E93235"/>
    <w:rsid w:val="00E93B37"/>
    <w:rsid w:val="00E9773F"/>
    <w:rsid w:val="00EA18D6"/>
    <w:rsid w:val="00EA3B0E"/>
    <w:rsid w:val="00EA440A"/>
    <w:rsid w:val="00EB2E2E"/>
    <w:rsid w:val="00EB6D73"/>
    <w:rsid w:val="00EC0650"/>
    <w:rsid w:val="00EC39CD"/>
    <w:rsid w:val="00EC6E3A"/>
    <w:rsid w:val="00ED3451"/>
    <w:rsid w:val="00ED5FE3"/>
    <w:rsid w:val="00ED7C7F"/>
    <w:rsid w:val="00EE23B0"/>
    <w:rsid w:val="00EE4898"/>
    <w:rsid w:val="00EF07EC"/>
    <w:rsid w:val="00EF38D3"/>
    <w:rsid w:val="00EF419A"/>
    <w:rsid w:val="00EF79E4"/>
    <w:rsid w:val="00F00411"/>
    <w:rsid w:val="00F06E8C"/>
    <w:rsid w:val="00F11FC1"/>
    <w:rsid w:val="00F12F8F"/>
    <w:rsid w:val="00F13C63"/>
    <w:rsid w:val="00F158AD"/>
    <w:rsid w:val="00F20575"/>
    <w:rsid w:val="00F20C03"/>
    <w:rsid w:val="00F248F5"/>
    <w:rsid w:val="00F2787D"/>
    <w:rsid w:val="00F30BE7"/>
    <w:rsid w:val="00F31058"/>
    <w:rsid w:val="00F32664"/>
    <w:rsid w:val="00F331BD"/>
    <w:rsid w:val="00F379F5"/>
    <w:rsid w:val="00F37FCB"/>
    <w:rsid w:val="00F476DC"/>
    <w:rsid w:val="00F50502"/>
    <w:rsid w:val="00F53E6E"/>
    <w:rsid w:val="00F5585D"/>
    <w:rsid w:val="00F5769D"/>
    <w:rsid w:val="00F610F0"/>
    <w:rsid w:val="00F62E87"/>
    <w:rsid w:val="00F65078"/>
    <w:rsid w:val="00F702D6"/>
    <w:rsid w:val="00F730B3"/>
    <w:rsid w:val="00F816D2"/>
    <w:rsid w:val="00F840E4"/>
    <w:rsid w:val="00F85433"/>
    <w:rsid w:val="00F854B1"/>
    <w:rsid w:val="00F9087D"/>
    <w:rsid w:val="00F95625"/>
    <w:rsid w:val="00F96041"/>
    <w:rsid w:val="00F9624D"/>
    <w:rsid w:val="00F97367"/>
    <w:rsid w:val="00FA3139"/>
    <w:rsid w:val="00FA69A4"/>
    <w:rsid w:val="00FB127D"/>
    <w:rsid w:val="00FB47F9"/>
    <w:rsid w:val="00FB561E"/>
    <w:rsid w:val="00FB6285"/>
    <w:rsid w:val="00FB781F"/>
    <w:rsid w:val="00FB7CBD"/>
    <w:rsid w:val="00FC21D5"/>
    <w:rsid w:val="00FD6DC4"/>
    <w:rsid w:val="00FE0CAA"/>
    <w:rsid w:val="00FE2EBA"/>
    <w:rsid w:val="00FF30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71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F7F84"/>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2F7F84"/>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2F7F84"/>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2F7F84"/>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2F7F84"/>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2F7F84"/>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2F7F84"/>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2F7F84"/>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2F7F84"/>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link w:val="FooterChar"/>
    <w:uiPriority w:val="99"/>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3C31A8"/>
    <w:pPr>
      <w:widowControl/>
      <w:numPr>
        <w:numId w:val="5"/>
      </w:numPr>
      <w:spacing w:line="480" w:lineRule="auto"/>
    </w:pPr>
  </w:style>
  <w:style w:type="character" w:customStyle="1" w:styleId="Heading1Char">
    <w:name w:val="Heading 1 Char"/>
    <w:basedOn w:val="DefaultParagraphFont"/>
    <w:link w:val="Heading1"/>
    <w:rsid w:val="002F7F84"/>
    <w:rPr>
      <w:b/>
      <w:bCs/>
      <w:kern w:val="32"/>
      <w:sz w:val="26"/>
      <w:szCs w:val="32"/>
      <w:u w:val="single"/>
      <w:lang w:bidi="ar-SA"/>
    </w:rPr>
  </w:style>
  <w:style w:type="character" w:customStyle="1" w:styleId="Heading2Char">
    <w:name w:val="Heading 2 Char"/>
    <w:basedOn w:val="DefaultParagraphFont"/>
    <w:link w:val="Heading2"/>
    <w:rsid w:val="002F7F84"/>
    <w:rPr>
      <w:b/>
      <w:bCs/>
      <w:iCs/>
      <w:kern w:val="32"/>
      <w:sz w:val="26"/>
      <w:szCs w:val="28"/>
      <w:u w:val="single"/>
      <w:lang w:bidi="ar-SA"/>
    </w:rPr>
  </w:style>
  <w:style w:type="character" w:customStyle="1" w:styleId="Heading3Char">
    <w:name w:val="Heading 3 Char"/>
    <w:basedOn w:val="DefaultParagraphFont"/>
    <w:link w:val="Heading3"/>
    <w:rsid w:val="002F7F84"/>
    <w:rPr>
      <w:b/>
      <w:bCs/>
      <w:kern w:val="32"/>
      <w:sz w:val="26"/>
      <w:szCs w:val="26"/>
      <w:u w:val="single"/>
      <w:lang w:bidi="ar-SA"/>
    </w:rPr>
  </w:style>
  <w:style w:type="character" w:customStyle="1" w:styleId="Heading4Char">
    <w:name w:val="Heading 4 Char"/>
    <w:basedOn w:val="DefaultParagraphFont"/>
    <w:link w:val="Heading4"/>
    <w:rsid w:val="002F7F84"/>
    <w:rPr>
      <w:b/>
      <w:bCs/>
      <w:kern w:val="32"/>
      <w:sz w:val="26"/>
      <w:szCs w:val="28"/>
      <w:u w:val="single"/>
      <w:lang w:bidi="ar-SA"/>
    </w:rPr>
  </w:style>
  <w:style w:type="character" w:customStyle="1" w:styleId="Heading5Char">
    <w:name w:val="Heading 5 Char"/>
    <w:basedOn w:val="DefaultParagraphFont"/>
    <w:link w:val="Heading5"/>
    <w:rsid w:val="002F7F84"/>
    <w:rPr>
      <w:b/>
      <w:bCs/>
      <w:iCs/>
      <w:kern w:val="32"/>
      <w:sz w:val="26"/>
      <w:szCs w:val="26"/>
      <w:u w:val="single"/>
      <w:lang w:bidi="ar-SA"/>
    </w:rPr>
  </w:style>
  <w:style w:type="character" w:customStyle="1" w:styleId="Heading6Char">
    <w:name w:val="Heading 6 Char"/>
    <w:basedOn w:val="DefaultParagraphFont"/>
    <w:link w:val="Heading6"/>
    <w:rsid w:val="002F7F84"/>
    <w:rPr>
      <w:b/>
      <w:bCs/>
      <w:kern w:val="32"/>
      <w:sz w:val="26"/>
      <w:szCs w:val="22"/>
      <w:u w:val="single"/>
      <w:lang w:bidi="ar-SA"/>
    </w:rPr>
  </w:style>
  <w:style w:type="character" w:customStyle="1" w:styleId="Heading7Char">
    <w:name w:val="Heading 7 Char"/>
    <w:basedOn w:val="DefaultParagraphFont"/>
    <w:link w:val="Heading7"/>
    <w:rsid w:val="002F7F84"/>
    <w:rPr>
      <w:b/>
      <w:kern w:val="32"/>
      <w:sz w:val="26"/>
      <w:szCs w:val="24"/>
      <w:u w:val="single"/>
      <w:lang w:bidi="ar-SA"/>
    </w:rPr>
  </w:style>
  <w:style w:type="character" w:customStyle="1" w:styleId="Heading8Char">
    <w:name w:val="Heading 8 Char"/>
    <w:basedOn w:val="DefaultParagraphFont"/>
    <w:link w:val="Heading8"/>
    <w:rsid w:val="002F7F84"/>
    <w:rPr>
      <w:b/>
      <w:iCs/>
      <w:kern w:val="32"/>
      <w:sz w:val="26"/>
      <w:szCs w:val="24"/>
      <w:u w:val="single"/>
      <w:lang w:bidi="ar-SA"/>
    </w:rPr>
  </w:style>
  <w:style w:type="character" w:customStyle="1" w:styleId="Heading9Char">
    <w:name w:val="Heading 9 Char"/>
    <w:basedOn w:val="DefaultParagraphFont"/>
    <w:link w:val="Heading9"/>
    <w:rsid w:val="002F7F84"/>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link w:val="FootnoteText"/>
    <w:rsid w:val="00067A24"/>
    <w:rPr>
      <w:sz w:val="26"/>
      <w:lang w:bidi="ar-SA"/>
    </w:rPr>
  </w:style>
  <w:style w:type="character" w:customStyle="1" w:styleId="FERCparanumberChar1">
    <w:name w:val="FERC paranumber Char1"/>
    <w:link w:val="FERCparanumber"/>
    <w:rsid w:val="00067A24"/>
    <w:rPr>
      <w:sz w:val="26"/>
      <w:szCs w:val="24"/>
      <w:lang w:bidi="ar-SA"/>
    </w:rPr>
  </w:style>
  <w:style w:type="paragraph" w:customStyle="1" w:styleId="Default">
    <w:name w:val="Default"/>
    <w:rsid w:val="00A32676"/>
    <w:pPr>
      <w:autoSpaceDE w:val="0"/>
      <w:autoSpaceDN w:val="0"/>
      <w:adjustRightInd w:val="0"/>
    </w:pPr>
    <w:rPr>
      <w:color w:val="000000"/>
      <w:sz w:val="24"/>
      <w:szCs w:val="24"/>
      <w:lang w:bidi="ar-SA"/>
    </w:rPr>
  </w:style>
  <w:style w:type="character" w:styleId="CommentReference">
    <w:name w:val="annotation reference"/>
    <w:basedOn w:val="DefaultParagraphFont"/>
    <w:uiPriority w:val="99"/>
    <w:semiHidden/>
    <w:unhideWhenUsed/>
    <w:rsid w:val="001E2164"/>
    <w:rPr>
      <w:sz w:val="16"/>
      <w:szCs w:val="16"/>
    </w:rPr>
  </w:style>
  <w:style w:type="paragraph" w:styleId="Revision">
    <w:name w:val="Revision"/>
    <w:hidden/>
    <w:uiPriority w:val="99"/>
    <w:semiHidden/>
    <w:rsid w:val="006015E4"/>
    <w:rPr>
      <w:sz w:val="26"/>
      <w:szCs w:val="24"/>
      <w:lang w:bidi="ar-SA"/>
    </w:rPr>
  </w:style>
  <w:style w:type="character" w:customStyle="1" w:styleId="FooterChar">
    <w:name w:val="Footer Char"/>
    <w:basedOn w:val="DefaultParagraphFont"/>
    <w:link w:val="Footer"/>
    <w:uiPriority w:val="99"/>
    <w:rsid w:val="001B1B7F"/>
    <w:rPr>
      <w:sz w:val="26"/>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F7F84"/>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2F7F84"/>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2F7F84"/>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2F7F84"/>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2F7F84"/>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2F7F84"/>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2F7F84"/>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2F7F84"/>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2F7F84"/>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link w:val="FooterChar"/>
    <w:uiPriority w:val="99"/>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3C31A8"/>
    <w:pPr>
      <w:widowControl/>
      <w:numPr>
        <w:numId w:val="5"/>
      </w:numPr>
      <w:spacing w:line="480" w:lineRule="auto"/>
    </w:pPr>
  </w:style>
  <w:style w:type="character" w:customStyle="1" w:styleId="Heading1Char">
    <w:name w:val="Heading 1 Char"/>
    <w:basedOn w:val="DefaultParagraphFont"/>
    <w:link w:val="Heading1"/>
    <w:rsid w:val="002F7F84"/>
    <w:rPr>
      <w:b/>
      <w:bCs/>
      <w:kern w:val="32"/>
      <w:sz w:val="26"/>
      <w:szCs w:val="32"/>
      <w:u w:val="single"/>
      <w:lang w:bidi="ar-SA"/>
    </w:rPr>
  </w:style>
  <w:style w:type="character" w:customStyle="1" w:styleId="Heading2Char">
    <w:name w:val="Heading 2 Char"/>
    <w:basedOn w:val="DefaultParagraphFont"/>
    <w:link w:val="Heading2"/>
    <w:rsid w:val="002F7F84"/>
    <w:rPr>
      <w:b/>
      <w:bCs/>
      <w:iCs/>
      <w:kern w:val="32"/>
      <w:sz w:val="26"/>
      <w:szCs w:val="28"/>
      <w:u w:val="single"/>
      <w:lang w:bidi="ar-SA"/>
    </w:rPr>
  </w:style>
  <w:style w:type="character" w:customStyle="1" w:styleId="Heading3Char">
    <w:name w:val="Heading 3 Char"/>
    <w:basedOn w:val="DefaultParagraphFont"/>
    <w:link w:val="Heading3"/>
    <w:rsid w:val="002F7F84"/>
    <w:rPr>
      <w:b/>
      <w:bCs/>
      <w:kern w:val="32"/>
      <w:sz w:val="26"/>
      <w:szCs w:val="26"/>
      <w:u w:val="single"/>
      <w:lang w:bidi="ar-SA"/>
    </w:rPr>
  </w:style>
  <w:style w:type="character" w:customStyle="1" w:styleId="Heading4Char">
    <w:name w:val="Heading 4 Char"/>
    <w:basedOn w:val="DefaultParagraphFont"/>
    <w:link w:val="Heading4"/>
    <w:rsid w:val="002F7F84"/>
    <w:rPr>
      <w:b/>
      <w:bCs/>
      <w:kern w:val="32"/>
      <w:sz w:val="26"/>
      <w:szCs w:val="28"/>
      <w:u w:val="single"/>
      <w:lang w:bidi="ar-SA"/>
    </w:rPr>
  </w:style>
  <w:style w:type="character" w:customStyle="1" w:styleId="Heading5Char">
    <w:name w:val="Heading 5 Char"/>
    <w:basedOn w:val="DefaultParagraphFont"/>
    <w:link w:val="Heading5"/>
    <w:rsid w:val="002F7F84"/>
    <w:rPr>
      <w:b/>
      <w:bCs/>
      <w:iCs/>
      <w:kern w:val="32"/>
      <w:sz w:val="26"/>
      <w:szCs w:val="26"/>
      <w:u w:val="single"/>
      <w:lang w:bidi="ar-SA"/>
    </w:rPr>
  </w:style>
  <w:style w:type="character" w:customStyle="1" w:styleId="Heading6Char">
    <w:name w:val="Heading 6 Char"/>
    <w:basedOn w:val="DefaultParagraphFont"/>
    <w:link w:val="Heading6"/>
    <w:rsid w:val="002F7F84"/>
    <w:rPr>
      <w:b/>
      <w:bCs/>
      <w:kern w:val="32"/>
      <w:sz w:val="26"/>
      <w:szCs w:val="22"/>
      <w:u w:val="single"/>
      <w:lang w:bidi="ar-SA"/>
    </w:rPr>
  </w:style>
  <w:style w:type="character" w:customStyle="1" w:styleId="Heading7Char">
    <w:name w:val="Heading 7 Char"/>
    <w:basedOn w:val="DefaultParagraphFont"/>
    <w:link w:val="Heading7"/>
    <w:rsid w:val="002F7F84"/>
    <w:rPr>
      <w:b/>
      <w:kern w:val="32"/>
      <w:sz w:val="26"/>
      <w:szCs w:val="24"/>
      <w:u w:val="single"/>
      <w:lang w:bidi="ar-SA"/>
    </w:rPr>
  </w:style>
  <w:style w:type="character" w:customStyle="1" w:styleId="Heading8Char">
    <w:name w:val="Heading 8 Char"/>
    <w:basedOn w:val="DefaultParagraphFont"/>
    <w:link w:val="Heading8"/>
    <w:rsid w:val="002F7F84"/>
    <w:rPr>
      <w:b/>
      <w:iCs/>
      <w:kern w:val="32"/>
      <w:sz w:val="26"/>
      <w:szCs w:val="24"/>
      <w:u w:val="single"/>
      <w:lang w:bidi="ar-SA"/>
    </w:rPr>
  </w:style>
  <w:style w:type="character" w:customStyle="1" w:styleId="Heading9Char">
    <w:name w:val="Heading 9 Char"/>
    <w:basedOn w:val="DefaultParagraphFont"/>
    <w:link w:val="Heading9"/>
    <w:rsid w:val="002F7F84"/>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link w:val="FootnoteText"/>
    <w:rsid w:val="00067A24"/>
    <w:rPr>
      <w:sz w:val="26"/>
      <w:lang w:bidi="ar-SA"/>
    </w:rPr>
  </w:style>
  <w:style w:type="character" w:customStyle="1" w:styleId="FERCparanumberChar1">
    <w:name w:val="FERC paranumber Char1"/>
    <w:link w:val="FERCparanumber"/>
    <w:rsid w:val="00067A24"/>
    <w:rPr>
      <w:sz w:val="26"/>
      <w:szCs w:val="24"/>
      <w:lang w:bidi="ar-SA"/>
    </w:rPr>
  </w:style>
  <w:style w:type="paragraph" w:customStyle="1" w:styleId="Default">
    <w:name w:val="Default"/>
    <w:rsid w:val="00A32676"/>
    <w:pPr>
      <w:autoSpaceDE w:val="0"/>
      <w:autoSpaceDN w:val="0"/>
      <w:adjustRightInd w:val="0"/>
    </w:pPr>
    <w:rPr>
      <w:color w:val="000000"/>
      <w:sz w:val="24"/>
      <w:szCs w:val="24"/>
      <w:lang w:bidi="ar-SA"/>
    </w:rPr>
  </w:style>
  <w:style w:type="character" w:styleId="CommentReference">
    <w:name w:val="annotation reference"/>
    <w:basedOn w:val="DefaultParagraphFont"/>
    <w:uiPriority w:val="99"/>
    <w:semiHidden/>
    <w:unhideWhenUsed/>
    <w:rsid w:val="001E2164"/>
    <w:rPr>
      <w:sz w:val="16"/>
      <w:szCs w:val="16"/>
    </w:rPr>
  </w:style>
  <w:style w:type="paragraph" w:styleId="Revision">
    <w:name w:val="Revision"/>
    <w:hidden/>
    <w:uiPriority w:val="99"/>
    <w:semiHidden/>
    <w:rsid w:val="006015E4"/>
    <w:rPr>
      <w:sz w:val="26"/>
      <w:szCs w:val="24"/>
      <w:lang w:bidi="ar-SA"/>
    </w:rPr>
  </w:style>
  <w:style w:type="character" w:customStyle="1" w:styleId="FooterChar">
    <w:name w:val="Footer Char"/>
    <w:basedOn w:val="DefaultParagraphFont"/>
    <w:link w:val="Footer"/>
    <w:uiPriority w:val="99"/>
    <w:rsid w:val="001B1B7F"/>
    <w:rPr>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6952">
      <w:bodyDiv w:val="1"/>
      <w:marLeft w:val="0"/>
      <w:marRight w:val="0"/>
      <w:marTop w:val="0"/>
      <w:marBottom w:val="0"/>
      <w:divBdr>
        <w:top w:val="none" w:sz="0" w:space="0" w:color="auto"/>
        <w:left w:val="none" w:sz="0" w:space="0" w:color="auto"/>
        <w:bottom w:val="none" w:sz="0" w:space="0" w:color="auto"/>
        <w:right w:val="none" w:sz="0" w:space="0" w:color="auto"/>
      </w:divBdr>
    </w:div>
    <w:div w:id="916592770">
      <w:bodyDiv w:val="1"/>
      <w:marLeft w:val="0"/>
      <w:marRight w:val="0"/>
      <w:marTop w:val="0"/>
      <w:marBottom w:val="0"/>
      <w:divBdr>
        <w:top w:val="none" w:sz="0" w:space="0" w:color="auto"/>
        <w:left w:val="none" w:sz="0" w:space="0" w:color="auto"/>
        <w:bottom w:val="none" w:sz="0" w:space="0" w:color="auto"/>
        <w:right w:val="none" w:sz="0" w:space="0" w:color="auto"/>
      </w:divBdr>
    </w:div>
    <w:div w:id="1047069299">
      <w:bodyDiv w:val="1"/>
      <w:marLeft w:val="0"/>
      <w:marRight w:val="0"/>
      <w:marTop w:val="0"/>
      <w:marBottom w:val="0"/>
      <w:divBdr>
        <w:top w:val="none" w:sz="0" w:space="0" w:color="auto"/>
        <w:left w:val="none" w:sz="0" w:space="0" w:color="auto"/>
        <w:bottom w:val="none" w:sz="0" w:space="0" w:color="auto"/>
        <w:right w:val="none" w:sz="0" w:space="0" w:color="auto"/>
      </w:divBdr>
    </w:div>
    <w:div w:id="1270353278">
      <w:bodyDiv w:val="1"/>
      <w:marLeft w:val="0"/>
      <w:marRight w:val="0"/>
      <w:marTop w:val="0"/>
      <w:marBottom w:val="0"/>
      <w:divBdr>
        <w:top w:val="none" w:sz="0" w:space="0" w:color="auto"/>
        <w:left w:val="none" w:sz="0" w:space="0" w:color="auto"/>
        <w:bottom w:val="none" w:sz="0" w:space="0" w:color="auto"/>
        <w:right w:val="none" w:sz="0" w:space="0" w:color="auto"/>
      </w:divBdr>
    </w:div>
    <w:div w:id="20326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Gandolfo@ferc.gov" TargetMode="External"/><Relationship Id="rId18" Type="http://schemas.openxmlformats.org/officeDocument/2006/relationships/hyperlink" Target="mailto:ferconlinesupport@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hyperlink" Target="http://www.ferc.gov" TargetMode="Externa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public.referenceroom@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ert.Stroh@ferc.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ba.gov/advocacy/849/12162" TargetMode="External"/><Relationship Id="rId2" Type="http://schemas.openxmlformats.org/officeDocument/2006/relationships/hyperlink" Target="http://bls.gov/oes/current/naics3_221000.htm" TargetMode="External"/><Relationship Id="rId1"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DB9B-E395-45A4-AB43-FA5B2F1FDCD4}">
  <ds:schemaRefs>
    <ds:schemaRef ds:uri="http://schemas.microsoft.com/office/2006/metadata/properties"/>
  </ds:schemaRefs>
</ds:datastoreItem>
</file>

<file path=customXml/itemProps2.xml><?xml version="1.0" encoding="utf-8"?>
<ds:datastoreItem xmlns:ds="http://schemas.openxmlformats.org/officeDocument/2006/customXml" ds:itemID="{F629F7FA-DB9F-4300-809D-237465054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F95C68-1B90-440D-9303-3C31E223D62B}">
  <ds:schemaRefs>
    <ds:schemaRef ds:uri="http://schemas.microsoft.com/sharepoint/v3/contenttype/forms"/>
  </ds:schemaRefs>
</ds:datastoreItem>
</file>

<file path=customXml/itemProps4.xml><?xml version="1.0" encoding="utf-8"?>
<ds:datastoreItem xmlns:ds="http://schemas.openxmlformats.org/officeDocument/2006/customXml" ds:itemID="{C31F4C4B-D1F9-40C6-AB66-B6392C9A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4248</Words>
  <Characters>24215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2014-06-19T15:47:00Z</dcterms:created>
  <dcterms:modified xsi:type="dcterms:W3CDTF">2014-06-19T15:47:00Z</dcterms:modified>
  <dc:identifier/>
  <cp:version/>
</cp:coreProperties>
</file>